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9123A" w:rsidRDefault="0046491C" w:rsidP="00E34F08">
      <w:pPr>
        <w:spacing w:after="0" w:line="360" w:lineRule="auto"/>
        <w:jc w:val="both"/>
        <w:rPr>
          <w:rFonts w:ascii="Palatino Linotype" w:hAnsi="Palatino Linotype" w:cs="Arial"/>
          <w:b/>
          <w:sz w:val="24"/>
          <w:szCs w:val="24"/>
        </w:rPr>
      </w:pPr>
      <w:r w:rsidRPr="0009123A">
        <w:rPr>
          <w:rFonts w:ascii="Palatino Linotype" w:hAnsi="Palatino Linotype" w:cs="Arial"/>
          <w:b/>
          <w:sz w:val="24"/>
          <w:szCs w:val="24"/>
        </w:rPr>
        <w:t>VOTO PARTICULAR DEL COMISIONADO JOSÉ GUADA</w:t>
      </w:r>
      <w:r w:rsidR="00D72985" w:rsidRPr="0009123A">
        <w:rPr>
          <w:rFonts w:ascii="Palatino Linotype" w:hAnsi="Palatino Linotype" w:cs="Arial"/>
          <w:b/>
          <w:sz w:val="24"/>
          <w:szCs w:val="24"/>
        </w:rPr>
        <w:t>LUPE LUNA HERNÁNDEZ DEL RECURSO</w:t>
      </w:r>
      <w:r w:rsidR="00BF3534" w:rsidRPr="0009123A">
        <w:rPr>
          <w:rFonts w:ascii="Palatino Linotype" w:hAnsi="Palatino Linotype" w:cs="Arial"/>
          <w:b/>
          <w:sz w:val="24"/>
          <w:szCs w:val="24"/>
        </w:rPr>
        <w:t xml:space="preserve"> DE REVISIÓN </w:t>
      </w:r>
      <w:r w:rsidR="00B26501">
        <w:rPr>
          <w:rFonts w:ascii="Palatino Linotype" w:hAnsi="Palatino Linotype" w:cs="Arial"/>
          <w:b/>
          <w:sz w:val="24"/>
          <w:szCs w:val="24"/>
        </w:rPr>
        <w:t>04409</w:t>
      </w:r>
      <w:r w:rsidR="00C7250F" w:rsidRPr="0009123A">
        <w:rPr>
          <w:rFonts w:ascii="Palatino Linotype" w:hAnsi="Palatino Linotype" w:cs="Arial"/>
          <w:b/>
          <w:sz w:val="24"/>
          <w:szCs w:val="24"/>
        </w:rPr>
        <w:t>/INFOEM/IP/RR/2018</w:t>
      </w:r>
      <w:r w:rsidR="0000525F" w:rsidRPr="0009123A">
        <w:rPr>
          <w:rFonts w:ascii="Palatino Linotype" w:hAnsi="Palatino Linotype" w:cs="Arial"/>
          <w:b/>
          <w:sz w:val="24"/>
          <w:szCs w:val="24"/>
        </w:rPr>
        <w:t>.</w:t>
      </w:r>
    </w:p>
    <w:p w:rsidR="0082452E" w:rsidRPr="0009123A" w:rsidRDefault="0082452E" w:rsidP="00E34F08">
      <w:pPr>
        <w:spacing w:after="0" w:line="360" w:lineRule="auto"/>
        <w:jc w:val="both"/>
        <w:rPr>
          <w:rFonts w:ascii="Palatino Linotype" w:hAnsi="Palatino Linotype" w:cs="Arial"/>
          <w:sz w:val="24"/>
          <w:szCs w:val="24"/>
        </w:rPr>
      </w:pPr>
    </w:p>
    <w:p w:rsidR="0046491C" w:rsidRPr="0009123A" w:rsidRDefault="0046491C" w:rsidP="00E34F08">
      <w:pPr>
        <w:spacing w:after="0" w:line="360" w:lineRule="auto"/>
        <w:jc w:val="both"/>
        <w:rPr>
          <w:rFonts w:ascii="Palatino Linotype" w:hAnsi="Palatino Linotype" w:cs="Arial"/>
          <w:b/>
          <w:sz w:val="24"/>
          <w:szCs w:val="24"/>
        </w:rPr>
      </w:pPr>
      <w:r w:rsidRPr="0009123A">
        <w:rPr>
          <w:rFonts w:ascii="Palatino Linotype" w:hAnsi="Palatino Linotype" w:cs="Arial"/>
          <w:b/>
          <w:sz w:val="24"/>
          <w:szCs w:val="24"/>
        </w:rPr>
        <w:t>Líneas argumentativas:</w:t>
      </w:r>
    </w:p>
    <w:p w:rsidR="00902248" w:rsidRPr="0009123A" w:rsidRDefault="00902248" w:rsidP="000E57DB">
      <w:pPr>
        <w:spacing w:after="0" w:line="276" w:lineRule="auto"/>
        <w:jc w:val="both"/>
        <w:rPr>
          <w:rFonts w:ascii="Palatino Linotype" w:hAnsi="Palatino Linotype" w:cs="Arial"/>
          <w:sz w:val="24"/>
          <w:szCs w:val="24"/>
        </w:rPr>
      </w:pPr>
    </w:p>
    <w:p w:rsidR="0046491C" w:rsidRPr="0009123A" w:rsidRDefault="0046491C" w:rsidP="000E57DB">
      <w:pPr>
        <w:spacing w:after="0" w:line="276" w:lineRule="auto"/>
        <w:jc w:val="both"/>
        <w:rPr>
          <w:rFonts w:ascii="Palatino Linotype" w:hAnsi="Palatino Linotype" w:cs="Arial"/>
          <w:sz w:val="24"/>
          <w:szCs w:val="24"/>
        </w:rPr>
      </w:pPr>
      <w:r w:rsidRPr="0009123A">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09123A" w:rsidRDefault="00902248" w:rsidP="000E57DB">
      <w:pPr>
        <w:spacing w:after="0" w:line="276" w:lineRule="auto"/>
        <w:jc w:val="both"/>
        <w:rPr>
          <w:rFonts w:ascii="Palatino Linotype" w:hAnsi="Palatino Linotype" w:cs="Arial"/>
          <w:sz w:val="24"/>
          <w:szCs w:val="24"/>
        </w:rPr>
      </w:pPr>
    </w:p>
    <w:p w:rsidR="0046491C" w:rsidRPr="0009123A" w:rsidRDefault="0046491C" w:rsidP="000E57DB">
      <w:pPr>
        <w:spacing w:after="0" w:line="276" w:lineRule="auto"/>
        <w:jc w:val="both"/>
        <w:rPr>
          <w:rFonts w:ascii="Palatino Linotype" w:hAnsi="Palatino Linotype" w:cs="Arial"/>
          <w:sz w:val="24"/>
          <w:szCs w:val="24"/>
        </w:rPr>
      </w:pPr>
      <w:r w:rsidRPr="0009123A">
        <w:rPr>
          <w:rFonts w:ascii="Palatino Linotype" w:hAnsi="Palatino Linotype" w:cs="Arial"/>
          <w:sz w:val="24"/>
          <w:szCs w:val="24"/>
        </w:rPr>
        <w:t>La figura de actos consentidos no debe ser invocada en el derecho humano fundamental de acceder a la información pública gubernamental.</w:t>
      </w:r>
    </w:p>
    <w:p w:rsidR="0001046D" w:rsidRPr="0009123A" w:rsidRDefault="0001046D" w:rsidP="000E57DB">
      <w:pPr>
        <w:spacing w:after="0" w:line="276" w:lineRule="auto"/>
        <w:jc w:val="both"/>
        <w:rPr>
          <w:rFonts w:ascii="Palatino Linotype" w:hAnsi="Palatino Linotype" w:cs="Arial"/>
          <w:sz w:val="24"/>
          <w:szCs w:val="24"/>
        </w:rPr>
      </w:pPr>
    </w:p>
    <w:p w:rsidR="0046491C" w:rsidRPr="0009123A" w:rsidRDefault="0046491C" w:rsidP="000E57DB">
      <w:pPr>
        <w:spacing w:after="0" w:line="276" w:lineRule="auto"/>
        <w:jc w:val="both"/>
        <w:rPr>
          <w:rFonts w:ascii="Palatino Linotype" w:hAnsi="Palatino Linotype" w:cs="Arial"/>
          <w:sz w:val="24"/>
          <w:szCs w:val="24"/>
        </w:rPr>
      </w:pPr>
      <w:r w:rsidRPr="0009123A">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09123A" w:rsidRDefault="0046491C" w:rsidP="000E57DB">
      <w:pPr>
        <w:spacing w:after="0" w:line="276" w:lineRule="auto"/>
        <w:jc w:val="both"/>
        <w:rPr>
          <w:rFonts w:ascii="Palatino Linotype" w:hAnsi="Palatino Linotype" w:cs="Arial"/>
          <w:sz w:val="24"/>
          <w:szCs w:val="24"/>
        </w:rPr>
      </w:pPr>
    </w:p>
    <w:p w:rsidR="0046491C" w:rsidRPr="0009123A" w:rsidRDefault="0046491C" w:rsidP="000E57DB">
      <w:pPr>
        <w:spacing w:after="0" w:line="276" w:lineRule="auto"/>
        <w:jc w:val="both"/>
        <w:rPr>
          <w:rFonts w:ascii="Palatino Linotype" w:hAnsi="Palatino Linotype" w:cs="Arial"/>
          <w:sz w:val="24"/>
          <w:szCs w:val="24"/>
        </w:rPr>
      </w:pPr>
      <w:r w:rsidRPr="0009123A">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09123A" w:rsidRDefault="0046491C" w:rsidP="000E57DB">
      <w:pPr>
        <w:spacing w:after="0" w:line="276" w:lineRule="auto"/>
        <w:jc w:val="both"/>
        <w:rPr>
          <w:rFonts w:ascii="Palatino Linotype" w:hAnsi="Palatino Linotype" w:cs="Arial"/>
          <w:sz w:val="24"/>
          <w:szCs w:val="24"/>
        </w:rPr>
      </w:pPr>
    </w:p>
    <w:p w:rsidR="0046491C" w:rsidRPr="0009123A" w:rsidRDefault="0046491C" w:rsidP="000E57DB">
      <w:pPr>
        <w:spacing w:after="0" w:line="276" w:lineRule="auto"/>
        <w:jc w:val="both"/>
        <w:rPr>
          <w:rFonts w:ascii="Palatino Linotype" w:hAnsi="Palatino Linotype" w:cs="Arial"/>
          <w:sz w:val="24"/>
          <w:szCs w:val="24"/>
        </w:rPr>
      </w:pPr>
      <w:r w:rsidRPr="0009123A">
        <w:rPr>
          <w:rFonts w:ascii="Palatino Linotype" w:hAnsi="Palatino Linotype" w:cs="Arial"/>
          <w:sz w:val="24"/>
          <w:szCs w:val="24"/>
        </w:rPr>
        <w:t xml:space="preserve">Restringir el derecho de acceso a la información pública del particular al no ordenar </w:t>
      </w:r>
      <w:proofErr w:type="gramStart"/>
      <w:r w:rsidRPr="0009123A">
        <w:rPr>
          <w:rFonts w:ascii="Palatino Linotype" w:hAnsi="Palatino Linotype" w:cs="Arial"/>
          <w:sz w:val="24"/>
          <w:szCs w:val="24"/>
        </w:rPr>
        <w:t>la</w:t>
      </w:r>
      <w:proofErr w:type="gramEnd"/>
      <w:r w:rsidRPr="0009123A">
        <w:rPr>
          <w:rFonts w:ascii="Palatino Linotype" w:hAnsi="Palatino Linotype" w:cs="Arial"/>
          <w:sz w:val="24"/>
          <w:szCs w:val="24"/>
        </w:rPr>
        <w:t xml:space="preserve"> información solicitada por no impugnar la falta de entrega de los documentos solicitados, debilita la efectividad de la  garantía de este derecho humano al hacerla depender de un hecho desconocido.</w:t>
      </w:r>
    </w:p>
    <w:p w:rsidR="0082452E" w:rsidRPr="0009123A" w:rsidRDefault="0082452E" w:rsidP="000E57DB">
      <w:pPr>
        <w:spacing w:after="0" w:line="276" w:lineRule="auto"/>
        <w:jc w:val="both"/>
        <w:rPr>
          <w:rFonts w:ascii="Palatino Linotype" w:hAnsi="Palatino Linotype" w:cs="Arial"/>
          <w:sz w:val="24"/>
          <w:szCs w:val="24"/>
        </w:rPr>
      </w:pPr>
    </w:p>
    <w:p w:rsidR="0046491C" w:rsidRPr="0009123A" w:rsidRDefault="0046491C" w:rsidP="000E57DB">
      <w:pPr>
        <w:spacing w:after="0" w:line="276" w:lineRule="auto"/>
        <w:jc w:val="both"/>
        <w:rPr>
          <w:rFonts w:ascii="Palatino Linotype" w:hAnsi="Palatino Linotype" w:cs="Arial"/>
          <w:sz w:val="24"/>
          <w:szCs w:val="24"/>
        </w:rPr>
      </w:pPr>
      <w:r w:rsidRPr="0009123A">
        <w:rPr>
          <w:rFonts w:ascii="Palatino Linotype" w:hAnsi="Palatino Linotype" w:cs="Arial"/>
          <w:sz w:val="24"/>
          <w:szCs w:val="24"/>
        </w:rPr>
        <w:t>Los órganos del Estado, tienen el deber que tienen dentro del margen de sus atribuciones, de prevenir violaciones a los derechos fundamentales.</w:t>
      </w:r>
    </w:p>
    <w:p w:rsidR="00702BD9" w:rsidRPr="0009123A" w:rsidRDefault="00702BD9" w:rsidP="00E34F08">
      <w:pPr>
        <w:spacing w:after="0" w:line="360" w:lineRule="auto"/>
        <w:jc w:val="both"/>
        <w:rPr>
          <w:rFonts w:ascii="Palatino Linotype" w:hAnsi="Palatino Linotype" w:cs="Arial"/>
          <w:sz w:val="24"/>
          <w:szCs w:val="24"/>
        </w:rPr>
      </w:pPr>
    </w:p>
    <w:p w:rsidR="009A5396" w:rsidRPr="0009123A" w:rsidRDefault="009A5396" w:rsidP="00E34F08">
      <w:pPr>
        <w:spacing w:after="0" w:line="360" w:lineRule="auto"/>
        <w:jc w:val="both"/>
        <w:rPr>
          <w:rFonts w:ascii="Palatino Linotype" w:hAnsi="Palatino Linotype" w:cs="Arial"/>
          <w:sz w:val="24"/>
          <w:szCs w:val="24"/>
        </w:rPr>
      </w:pPr>
    </w:p>
    <w:p w:rsidR="0046491C" w:rsidRPr="000E57DB" w:rsidRDefault="0046491C" w:rsidP="000E57DB">
      <w:pPr>
        <w:spacing w:after="0" w:line="600" w:lineRule="auto"/>
        <w:jc w:val="both"/>
        <w:rPr>
          <w:rFonts w:ascii="Palatino Linotype" w:hAnsi="Palatino Linotype" w:cs="Arial"/>
          <w:sz w:val="24"/>
          <w:szCs w:val="24"/>
        </w:rPr>
      </w:pPr>
      <w:r w:rsidRPr="000E57DB">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0E57DB" w:rsidRDefault="0046491C" w:rsidP="000E57DB">
          <w:pPr>
            <w:pStyle w:val="TtulodeTDC"/>
            <w:spacing w:line="600" w:lineRule="auto"/>
            <w:rPr>
              <w:rFonts w:ascii="Palatino Linotype" w:hAnsi="Palatino Linotype"/>
              <w:sz w:val="24"/>
              <w:szCs w:val="24"/>
            </w:rPr>
          </w:pPr>
        </w:p>
        <w:p w:rsidR="00B8686D" w:rsidRPr="000E57DB" w:rsidRDefault="0046491C" w:rsidP="000E57DB">
          <w:pPr>
            <w:pStyle w:val="TDC1"/>
            <w:tabs>
              <w:tab w:val="left" w:pos="440"/>
              <w:tab w:val="right" w:leader="dot" w:pos="8828"/>
            </w:tabs>
            <w:spacing w:line="600" w:lineRule="auto"/>
            <w:rPr>
              <w:rFonts w:ascii="Palatino Linotype" w:eastAsiaTheme="minorEastAsia" w:hAnsi="Palatino Linotype"/>
              <w:noProof/>
              <w:sz w:val="24"/>
              <w:szCs w:val="24"/>
              <w:lang w:eastAsia="es-MX"/>
            </w:rPr>
          </w:pPr>
          <w:r w:rsidRPr="000E57DB">
            <w:rPr>
              <w:rFonts w:ascii="Palatino Linotype" w:hAnsi="Palatino Linotype"/>
              <w:sz w:val="24"/>
              <w:szCs w:val="24"/>
            </w:rPr>
            <w:fldChar w:fldCharType="begin"/>
          </w:r>
          <w:r w:rsidRPr="000E57DB">
            <w:rPr>
              <w:rFonts w:ascii="Palatino Linotype" w:hAnsi="Palatino Linotype"/>
              <w:sz w:val="24"/>
              <w:szCs w:val="24"/>
            </w:rPr>
            <w:instrText xml:space="preserve"> TOC \o "1-3" \h \z \u </w:instrText>
          </w:r>
          <w:r w:rsidRPr="000E57DB">
            <w:rPr>
              <w:rFonts w:ascii="Palatino Linotype" w:hAnsi="Palatino Linotype"/>
              <w:sz w:val="24"/>
              <w:szCs w:val="24"/>
            </w:rPr>
            <w:fldChar w:fldCharType="separate"/>
          </w:r>
          <w:hyperlink w:anchor="_Toc534976971" w:history="1">
            <w:r w:rsidR="00B8686D" w:rsidRPr="000E57DB">
              <w:rPr>
                <w:rStyle w:val="Hipervnculo"/>
                <w:rFonts w:ascii="Palatino Linotype" w:hAnsi="Palatino Linotype"/>
                <w:b/>
                <w:noProof/>
                <w:sz w:val="24"/>
                <w:szCs w:val="24"/>
              </w:rPr>
              <w:t>I.</w:t>
            </w:r>
            <w:r w:rsidR="00B8686D" w:rsidRPr="000E57DB">
              <w:rPr>
                <w:rFonts w:ascii="Palatino Linotype" w:eastAsiaTheme="minorEastAsia" w:hAnsi="Palatino Linotype"/>
                <w:noProof/>
                <w:sz w:val="24"/>
                <w:szCs w:val="24"/>
                <w:lang w:eastAsia="es-MX"/>
              </w:rPr>
              <w:tab/>
            </w:r>
            <w:r w:rsidR="00B8686D" w:rsidRPr="000E57DB">
              <w:rPr>
                <w:rStyle w:val="Hipervnculo"/>
                <w:rFonts w:ascii="Palatino Linotype" w:hAnsi="Palatino Linotype"/>
                <w:b/>
                <w:noProof/>
                <w:sz w:val="24"/>
                <w:szCs w:val="24"/>
              </w:rPr>
              <w:t>Consideraciones Generales.</w:t>
            </w:r>
            <w:r w:rsidR="00B8686D" w:rsidRPr="000E57DB">
              <w:rPr>
                <w:rFonts w:ascii="Palatino Linotype" w:hAnsi="Palatino Linotype"/>
                <w:noProof/>
                <w:webHidden/>
                <w:sz w:val="24"/>
                <w:szCs w:val="24"/>
              </w:rPr>
              <w:tab/>
            </w:r>
            <w:r w:rsidR="00B8686D" w:rsidRPr="000E57DB">
              <w:rPr>
                <w:rFonts w:ascii="Palatino Linotype" w:hAnsi="Palatino Linotype"/>
                <w:noProof/>
                <w:webHidden/>
                <w:sz w:val="24"/>
                <w:szCs w:val="24"/>
              </w:rPr>
              <w:fldChar w:fldCharType="begin"/>
            </w:r>
            <w:r w:rsidR="00B8686D" w:rsidRPr="000E57DB">
              <w:rPr>
                <w:rFonts w:ascii="Palatino Linotype" w:hAnsi="Palatino Linotype"/>
                <w:noProof/>
                <w:webHidden/>
                <w:sz w:val="24"/>
                <w:szCs w:val="24"/>
              </w:rPr>
              <w:instrText xml:space="preserve"> PAGEREF _Toc534976971 \h </w:instrText>
            </w:r>
            <w:r w:rsidR="00B8686D" w:rsidRPr="000E57DB">
              <w:rPr>
                <w:rFonts w:ascii="Palatino Linotype" w:hAnsi="Palatino Linotype"/>
                <w:noProof/>
                <w:webHidden/>
                <w:sz w:val="24"/>
                <w:szCs w:val="24"/>
              </w:rPr>
            </w:r>
            <w:r w:rsidR="00B8686D" w:rsidRPr="000E57DB">
              <w:rPr>
                <w:rFonts w:ascii="Palatino Linotype" w:hAnsi="Palatino Linotype"/>
                <w:noProof/>
                <w:webHidden/>
                <w:sz w:val="24"/>
                <w:szCs w:val="24"/>
              </w:rPr>
              <w:fldChar w:fldCharType="separate"/>
            </w:r>
            <w:r w:rsidR="00B44F6D">
              <w:rPr>
                <w:rFonts w:ascii="Palatino Linotype" w:hAnsi="Palatino Linotype"/>
                <w:noProof/>
                <w:webHidden/>
                <w:sz w:val="24"/>
                <w:szCs w:val="24"/>
              </w:rPr>
              <w:t>3</w:t>
            </w:r>
            <w:r w:rsidR="00B8686D" w:rsidRPr="000E57DB">
              <w:rPr>
                <w:rFonts w:ascii="Palatino Linotype" w:hAnsi="Palatino Linotype"/>
                <w:noProof/>
                <w:webHidden/>
                <w:sz w:val="24"/>
                <w:szCs w:val="24"/>
              </w:rPr>
              <w:fldChar w:fldCharType="end"/>
            </w:r>
          </w:hyperlink>
        </w:p>
        <w:p w:rsidR="00B8686D" w:rsidRPr="000E57DB" w:rsidRDefault="003200D6" w:rsidP="000E57DB">
          <w:pPr>
            <w:pStyle w:val="TDC1"/>
            <w:tabs>
              <w:tab w:val="left" w:pos="660"/>
              <w:tab w:val="right" w:leader="dot" w:pos="8828"/>
            </w:tabs>
            <w:spacing w:line="600" w:lineRule="auto"/>
            <w:rPr>
              <w:rFonts w:ascii="Palatino Linotype" w:eastAsiaTheme="minorEastAsia" w:hAnsi="Palatino Linotype"/>
              <w:noProof/>
              <w:sz w:val="24"/>
              <w:szCs w:val="24"/>
              <w:lang w:eastAsia="es-MX"/>
            </w:rPr>
          </w:pPr>
          <w:hyperlink w:anchor="_Toc534976972" w:history="1">
            <w:r w:rsidR="00B8686D" w:rsidRPr="000E57DB">
              <w:rPr>
                <w:rStyle w:val="Hipervnculo"/>
                <w:rFonts w:ascii="Palatino Linotype" w:hAnsi="Palatino Linotype"/>
                <w:b/>
                <w:noProof/>
                <w:sz w:val="24"/>
                <w:szCs w:val="24"/>
              </w:rPr>
              <w:t>II.</w:t>
            </w:r>
            <w:r w:rsidR="00B8686D" w:rsidRPr="000E57DB">
              <w:rPr>
                <w:rFonts w:ascii="Palatino Linotype" w:eastAsiaTheme="minorEastAsia" w:hAnsi="Palatino Linotype"/>
                <w:noProof/>
                <w:sz w:val="24"/>
                <w:szCs w:val="24"/>
                <w:lang w:eastAsia="es-MX"/>
              </w:rPr>
              <w:tab/>
            </w:r>
            <w:r w:rsidR="00B8686D" w:rsidRPr="000E57DB">
              <w:rPr>
                <w:rStyle w:val="Hipervnculo"/>
                <w:rFonts w:ascii="Palatino Linotype" w:hAnsi="Palatino Linotype"/>
                <w:b/>
                <w:noProof/>
                <w:sz w:val="24"/>
                <w:szCs w:val="24"/>
              </w:rPr>
              <w:t>De los requerimientos planteados en el recurso de revisión.</w:t>
            </w:r>
            <w:r w:rsidR="00B8686D" w:rsidRPr="000E57DB">
              <w:rPr>
                <w:rFonts w:ascii="Palatino Linotype" w:hAnsi="Palatino Linotype"/>
                <w:noProof/>
                <w:webHidden/>
                <w:sz w:val="24"/>
                <w:szCs w:val="24"/>
              </w:rPr>
              <w:tab/>
            </w:r>
            <w:r w:rsidR="00B8686D" w:rsidRPr="000E57DB">
              <w:rPr>
                <w:rFonts w:ascii="Palatino Linotype" w:hAnsi="Palatino Linotype"/>
                <w:noProof/>
                <w:webHidden/>
                <w:sz w:val="24"/>
                <w:szCs w:val="24"/>
              </w:rPr>
              <w:fldChar w:fldCharType="begin"/>
            </w:r>
            <w:r w:rsidR="00B8686D" w:rsidRPr="000E57DB">
              <w:rPr>
                <w:rFonts w:ascii="Palatino Linotype" w:hAnsi="Palatino Linotype"/>
                <w:noProof/>
                <w:webHidden/>
                <w:sz w:val="24"/>
                <w:szCs w:val="24"/>
              </w:rPr>
              <w:instrText xml:space="preserve"> PAGEREF _Toc534976972 \h </w:instrText>
            </w:r>
            <w:r w:rsidR="00B8686D" w:rsidRPr="000E57DB">
              <w:rPr>
                <w:rFonts w:ascii="Palatino Linotype" w:hAnsi="Palatino Linotype"/>
                <w:noProof/>
                <w:webHidden/>
                <w:sz w:val="24"/>
                <w:szCs w:val="24"/>
              </w:rPr>
            </w:r>
            <w:r w:rsidR="00B8686D" w:rsidRPr="000E57DB">
              <w:rPr>
                <w:rFonts w:ascii="Palatino Linotype" w:hAnsi="Palatino Linotype"/>
                <w:noProof/>
                <w:webHidden/>
                <w:sz w:val="24"/>
                <w:szCs w:val="24"/>
              </w:rPr>
              <w:fldChar w:fldCharType="separate"/>
            </w:r>
            <w:r w:rsidR="00B44F6D">
              <w:rPr>
                <w:rFonts w:ascii="Palatino Linotype" w:hAnsi="Palatino Linotype"/>
                <w:noProof/>
                <w:webHidden/>
                <w:sz w:val="24"/>
                <w:szCs w:val="24"/>
              </w:rPr>
              <w:t>4</w:t>
            </w:r>
            <w:r w:rsidR="00B8686D" w:rsidRPr="000E57DB">
              <w:rPr>
                <w:rFonts w:ascii="Palatino Linotype" w:hAnsi="Palatino Linotype"/>
                <w:noProof/>
                <w:webHidden/>
                <w:sz w:val="24"/>
                <w:szCs w:val="24"/>
              </w:rPr>
              <w:fldChar w:fldCharType="end"/>
            </w:r>
          </w:hyperlink>
        </w:p>
        <w:p w:rsidR="00B8686D" w:rsidRPr="000E57DB" w:rsidRDefault="003200D6" w:rsidP="000E57DB">
          <w:pPr>
            <w:pStyle w:val="TDC1"/>
            <w:tabs>
              <w:tab w:val="left" w:pos="660"/>
              <w:tab w:val="right" w:leader="dot" w:pos="8828"/>
            </w:tabs>
            <w:spacing w:line="600" w:lineRule="auto"/>
            <w:rPr>
              <w:rFonts w:ascii="Palatino Linotype" w:eastAsiaTheme="minorEastAsia" w:hAnsi="Palatino Linotype"/>
              <w:noProof/>
              <w:sz w:val="24"/>
              <w:szCs w:val="24"/>
              <w:lang w:eastAsia="es-MX"/>
            </w:rPr>
          </w:pPr>
          <w:hyperlink w:anchor="_Toc534976973" w:history="1">
            <w:r w:rsidR="00B8686D" w:rsidRPr="000E57DB">
              <w:rPr>
                <w:rStyle w:val="Hipervnculo"/>
                <w:rFonts w:ascii="Palatino Linotype" w:hAnsi="Palatino Linotype"/>
                <w:b/>
                <w:noProof/>
                <w:sz w:val="24"/>
                <w:szCs w:val="24"/>
              </w:rPr>
              <w:t>III.</w:t>
            </w:r>
            <w:r w:rsidR="00B8686D" w:rsidRPr="000E57DB">
              <w:rPr>
                <w:rFonts w:ascii="Palatino Linotype" w:eastAsiaTheme="minorEastAsia" w:hAnsi="Palatino Linotype"/>
                <w:noProof/>
                <w:sz w:val="24"/>
                <w:szCs w:val="24"/>
                <w:lang w:eastAsia="es-MX"/>
              </w:rPr>
              <w:tab/>
            </w:r>
            <w:r w:rsidR="00B8686D" w:rsidRPr="000E57DB">
              <w:rPr>
                <w:rStyle w:val="Hipervnculo"/>
                <w:rFonts w:ascii="Palatino Linotype" w:hAnsi="Palatino Linotype"/>
                <w:b/>
                <w:noProof/>
                <w:sz w:val="24"/>
                <w:szCs w:val="24"/>
              </w:rPr>
              <w:t>Los actos consentidos no deben invocarse en el derecho fundamental de acceder a la información pública gubernamental.</w:t>
            </w:r>
            <w:r w:rsidR="00B8686D" w:rsidRPr="000E57DB">
              <w:rPr>
                <w:rFonts w:ascii="Palatino Linotype" w:hAnsi="Palatino Linotype"/>
                <w:noProof/>
                <w:webHidden/>
                <w:sz w:val="24"/>
                <w:szCs w:val="24"/>
              </w:rPr>
              <w:tab/>
            </w:r>
            <w:r w:rsidR="00B8686D" w:rsidRPr="000E57DB">
              <w:rPr>
                <w:rFonts w:ascii="Palatino Linotype" w:hAnsi="Palatino Linotype"/>
                <w:noProof/>
                <w:webHidden/>
                <w:sz w:val="24"/>
                <w:szCs w:val="24"/>
              </w:rPr>
              <w:fldChar w:fldCharType="begin"/>
            </w:r>
            <w:r w:rsidR="00B8686D" w:rsidRPr="000E57DB">
              <w:rPr>
                <w:rFonts w:ascii="Palatino Linotype" w:hAnsi="Palatino Linotype"/>
                <w:noProof/>
                <w:webHidden/>
                <w:sz w:val="24"/>
                <w:szCs w:val="24"/>
              </w:rPr>
              <w:instrText xml:space="preserve"> PAGEREF _Toc534976973 \h </w:instrText>
            </w:r>
            <w:r w:rsidR="00B8686D" w:rsidRPr="000E57DB">
              <w:rPr>
                <w:rFonts w:ascii="Palatino Linotype" w:hAnsi="Palatino Linotype"/>
                <w:noProof/>
                <w:webHidden/>
                <w:sz w:val="24"/>
                <w:szCs w:val="24"/>
              </w:rPr>
            </w:r>
            <w:r w:rsidR="00B8686D" w:rsidRPr="000E57DB">
              <w:rPr>
                <w:rFonts w:ascii="Palatino Linotype" w:hAnsi="Palatino Linotype"/>
                <w:noProof/>
                <w:webHidden/>
                <w:sz w:val="24"/>
                <w:szCs w:val="24"/>
              </w:rPr>
              <w:fldChar w:fldCharType="separate"/>
            </w:r>
            <w:r w:rsidR="00B44F6D">
              <w:rPr>
                <w:rFonts w:ascii="Palatino Linotype" w:hAnsi="Palatino Linotype"/>
                <w:noProof/>
                <w:webHidden/>
                <w:sz w:val="24"/>
                <w:szCs w:val="24"/>
              </w:rPr>
              <w:t>9</w:t>
            </w:r>
            <w:r w:rsidR="00B8686D" w:rsidRPr="000E57DB">
              <w:rPr>
                <w:rFonts w:ascii="Palatino Linotype" w:hAnsi="Palatino Linotype"/>
                <w:noProof/>
                <w:webHidden/>
                <w:sz w:val="24"/>
                <w:szCs w:val="24"/>
              </w:rPr>
              <w:fldChar w:fldCharType="end"/>
            </w:r>
          </w:hyperlink>
        </w:p>
        <w:p w:rsidR="0046491C" w:rsidRPr="000E57DB" w:rsidRDefault="0046491C" w:rsidP="000E57DB">
          <w:pPr>
            <w:spacing w:line="600" w:lineRule="auto"/>
            <w:rPr>
              <w:rFonts w:ascii="Palatino Linotype" w:hAnsi="Palatino Linotype"/>
              <w:sz w:val="24"/>
              <w:szCs w:val="24"/>
            </w:rPr>
          </w:pPr>
          <w:r w:rsidRPr="000E57DB">
            <w:rPr>
              <w:rFonts w:ascii="Palatino Linotype" w:hAnsi="Palatino Linotype"/>
              <w:b/>
              <w:bCs/>
              <w:sz w:val="24"/>
              <w:szCs w:val="24"/>
              <w:lang w:val="es-ES"/>
            </w:rPr>
            <w:fldChar w:fldCharType="end"/>
          </w:r>
        </w:p>
      </w:sdtContent>
    </w:sdt>
    <w:p w:rsidR="00072966" w:rsidRPr="000E57DB" w:rsidRDefault="00072966" w:rsidP="000E57DB">
      <w:pPr>
        <w:pStyle w:val="Ttulo1"/>
        <w:spacing w:line="600" w:lineRule="auto"/>
        <w:rPr>
          <w:rFonts w:ascii="Palatino Linotype" w:hAnsi="Palatino Linotype"/>
          <w:b/>
          <w:color w:val="auto"/>
          <w:sz w:val="24"/>
          <w:szCs w:val="24"/>
        </w:rPr>
      </w:pPr>
    </w:p>
    <w:p w:rsidR="00702BD9" w:rsidRDefault="00702BD9"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0" w:name="_Toc534976971"/>
      <w:r w:rsidRPr="0009123A">
        <w:rPr>
          <w:rFonts w:ascii="Palatino Linotype" w:hAnsi="Palatino Linotype"/>
          <w:b/>
          <w:color w:val="auto"/>
          <w:sz w:val="24"/>
          <w:szCs w:val="24"/>
        </w:rPr>
        <w:lastRenderedPageBreak/>
        <w:t>Consideraciones Generales.</w:t>
      </w:r>
      <w:bookmarkEnd w:id="0"/>
    </w:p>
    <w:p w:rsidR="0046491C" w:rsidRPr="0009123A" w:rsidRDefault="0046491C" w:rsidP="00E34F08">
      <w:pPr>
        <w:pStyle w:val="Prrafodelista"/>
        <w:spacing w:after="0" w:line="360" w:lineRule="auto"/>
        <w:ind w:left="1080"/>
        <w:jc w:val="both"/>
        <w:rPr>
          <w:rFonts w:ascii="Palatino Linotype" w:hAnsi="Palatino Linotype" w:cs="Arial"/>
          <w:b/>
          <w:sz w:val="24"/>
          <w:szCs w:val="24"/>
        </w:rPr>
      </w:pPr>
    </w:p>
    <w:p w:rsidR="0046491C" w:rsidRPr="00B26501" w:rsidRDefault="0046491C" w:rsidP="00B26501">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eastAsia="Times New Roman" w:hAnsi="Palatino Linotype" w:cs="Arial"/>
          <w:sz w:val="24"/>
          <w:szCs w:val="24"/>
          <w:lang w:val="es-ES_tradnl"/>
        </w:rPr>
        <w:t xml:space="preserve">He concurrido con mi </w:t>
      </w:r>
      <w:r w:rsidR="00D33AF9" w:rsidRPr="0009123A">
        <w:rPr>
          <w:rFonts w:ascii="Palatino Linotype" w:eastAsia="Times New Roman" w:hAnsi="Palatino Linotype" w:cs="Arial"/>
          <w:sz w:val="24"/>
          <w:szCs w:val="24"/>
          <w:lang w:val="es-ES_tradnl"/>
        </w:rPr>
        <w:t>voto</w:t>
      </w:r>
      <w:r w:rsidRPr="0009123A">
        <w:rPr>
          <w:rFonts w:ascii="Palatino Linotype" w:eastAsia="Times New Roman" w:hAnsi="Palatino Linotype" w:cs="Arial"/>
          <w:sz w:val="24"/>
          <w:szCs w:val="24"/>
          <w:lang w:val="es-ES_tradnl"/>
        </w:rPr>
        <w:t xml:space="preserve"> particular de la presente resolución emitida </w:t>
      </w:r>
      <w:r w:rsidRPr="0009123A">
        <w:rPr>
          <w:rFonts w:ascii="Palatino Linotype" w:hAnsi="Palatino Linotype" w:cs="Arial"/>
          <w:sz w:val="24"/>
          <w:szCs w:val="24"/>
        </w:rPr>
        <w:t>por el Pleno del Instituto de Transparencia, Acceso a la Información Pública y Protección de Datos Personales del Estado de Méxi</w:t>
      </w:r>
      <w:r w:rsidR="002C1F75" w:rsidRPr="0009123A">
        <w:rPr>
          <w:rFonts w:ascii="Palatino Linotype" w:hAnsi="Palatino Linotype" w:cs="Arial"/>
          <w:sz w:val="24"/>
          <w:szCs w:val="24"/>
        </w:rPr>
        <w:t>co y Municipios, en su</w:t>
      </w:r>
      <w:r w:rsidR="000D1743" w:rsidRPr="0009123A">
        <w:rPr>
          <w:rFonts w:ascii="Palatino Linotype" w:hAnsi="Palatino Linotype" w:cs="Arial"/>
          <w:sz w:val="24"/>
          <w:szCs w:val="24"/>
        </w:rPr>
        <w:t xml:space="preserve"> </w:t>
      </w:r>
      <w:r w:rsidR="000E57DB">
        <w:rPr>
          <w:rFonts w:ascii="Palatino Linotype" w:hAnsi="Palatino Linotype" w:cs="Arial"/>
          <w:sz w:val="24"/>
          <w:szCs w:val="24"/>
        </w:rPr>
        <w:t>sexta</w:t>
      </w:r>
      <w:r w:rsidR="00817341" w:rsidRPr="0009123A">
        <w:rPr>
          <w:rFonts w:ascii="Palatino Linotype" w:hAnsi="Palatino Linotype" w:cs="Arial"/>
          <w:sz w:val="24"/>
          <w:szCs w:val="24"/>
        </w:rPr>
        <w:t xml:space="preserve"> </w:t>
      </w:r>
      <w:r w:rsidRPr="0009123A">
        <w:rPr>
          <w:rFonts w:ascii="Palatino Linotype" w:hAnsi="Palatino Linotype" w:cs="Arial"/>
          <w:sz w:val="24"/>
          <w:szCs w:val="24"/>
        </w:rPr>
        <w:t xml:space="preserve">sesión ordinaria </w:t>
      </w:r>
      <w:r w:rsidR="00777181" w:rsidRPr="0009123A">
        <w:rPr>
          <w:rFonts w:ascii="Palatino Linotype" w:hAnsi="Palatino Linotype" w:cs="Arial"/>
          <w:sz w:val="24"/>
          <w:szCs w:val="24"/>
        </w:rPr>
        <w:t>d</w:t>
      </w:r>
      <w:r w:rsidR="00C7250F" w:rsidRPr="0009123A">
        <w:rPr>
          <w:rFonts w:ascii="Palatino Linotype" w:hAnsi="Palatino Linotype" w:cs="Arial"/>
          <w:sz w:val="24"/>
          <w:szCs w:val="24"/>
        </w:rPr>
        <w:t xml:space="preserve">e fecha </w:t>
      </w:r>
      <w:r w:rsidR="000E57DB">
        <w:rPr>
          <w:rFonts w:ascii="Palatino Linotype" w:hAnsi="Palatino Linotype" w:cs="Arial"/>
          <w:sz w:val="24"/>
          <w:szCs w:val="24"/>
        </w:rPr>
        <w:t>trece</w:t>
      </w:r>
      <w:r w:rsidRPr="0009123A">
        <w:rPr>
          <w:rFonts w:ascii="Palatino Linotype" w:hAnsi="Palatino Linotype" w:cs="Arial"/>
          <w:sz w:val="24"/>
          <w:szCs w:val="24"/>
        </w:rPr>
        <w:t xml:space="preserve"> (</w:t>
      </w:r>
      <w:r w:rsidR="000E57DB">
        <w:rPr>
          <w:rFonts w:ascii="Palatino Linotype" w:hAnsi="Palatino Linotype" w:cs="Arial"/>
          <w:sz w:val="24"/>
          <w:szCs w:val="24"/>
        </w:rPr>
        <w:t>13</w:t>
      </w:r>
      <w:r w:rsidR="00225026" w:rsidRPr="0009123A">
        <w:rPr>
          <w:rFonts w:ascii="Palatino Linotype" w:hAnsi="Palatino Linotype" w:cs="Arial"/>
          <w:sz w:val="24"/>
          <w:szCs w:val="24"/>
        </w:rPr>
        <w:t xml:space="preserve">) de </w:t>
      </w:r>
      <w:r w:rsidR="000E57DB">
        <w:rPr>
          <w:rFonts w:ascii="Palatino Linotype" w:hAnsi="Palatino Linotype" w:cs="Arial"/>
          <w:sz w:val="24"/>
          <w:szCs w:val="24"/>
        </w:rPr>
        <w:t>febrero</w:t>
      </w:r>
      <w:r w:rsidR="00C7250F" w:rsidRPr="0009123A">
        <w:rPr>
          <w:rFonts w:ascii="Palatino Linotype" w:hAnsi="Palatino Linotype" w:cs="Arial"/>
          <w:sz w:val="24"/>
          <w:szCs w:val="24"/>
        </w:rPr>
        <w:t xml:space="preserve"> </w:t>
      </w:r>
      <w:r w:rsidR="0076241F" w:rsidRPr="0009123A">
        <w:rPr>
          <w:rFonts w:ascii="Palatino Linotype" w:hAnsi="Palatino Linotype" w:cs="Arial"/>
          <w:sz w:val="24"/>
          <w:szCs w:val="24"/>
        </w:rPr>
        <w:t>de dos mil dieci</w:t>
      </w:r>
      <w:r w:rsidR="00347624" w:rsidRPr="0009123A">
        <w:rPr>
          <w:rFonts w:ascii="Palatino Linotype" w:hAnsi="Palatino Linotype" w:cs="Arial"/>
          <w:sz w:val="24"/>
          <w:szCs w:val="24"/>
        </w:rPr>
        <w:t>nueve</w:t>
      </w:r>
      <w:r w:rsidRPr="0009123A">
        <w:rPr>
          <w:rFonts w:ascii="Palatino Linotype" w:hAnsi="Palatino Linotype" w:cs="Arial"/>
          <w:sz w:val="24"/>
          <w:szCs w:val="24"/>
        </w:rPr>
        <w:t>, en el recurso</w:t>
      </w:r>
      <w:r w:rsidR="002C1F75" w:rsidRPr="0009123A">
        <w:rPr>
          <w:rFonts w:ascii="Palatino Linotype" w:hAnsi="Palatino Linotype" w:cs="Arial"/>
          <w:sz w:val="24"/>
          <w:szCs w:val="24"/>
        </w:rPr>
        <w:t xml:space="preserve"> de revisión promovido</w:t>
      </w:r>
      <w:r w:rsidR="00DE67B1">
        <w:rPr>
          <w:rFonts w:ascii="Palatino Linotype" w:hAnsi="Palatino Linotype" w:cs="Arial"/>
          <w:sz w:val="24"/>
          <w:szCs w:val="24"/>
        </w:rPr>
        <w:t xml:space="preserve"> en contra de la respuesta de</w:t>
      </w:r>
      <w:r w:rsidR="00777181" w:rsidRPr="0009123A">
        <w:rPr>
          <w:rFonts w:ascii="Palatino Linotype" w:hAnsi="Palatino Linotype" w:cs="Arial"/>
          <w:sz w:val="24"/>
          <w:szCs w:val="24"/>
        </w:rPr>
        <w:t xml:space="preserve">l </w:t>
      </w:r>
      <w:r w:rsidR="00B26501" w:rsidRPr="00B26501">
        <w:rPr>
          <w:rFonts w:ascii="Palatino Linotype" w:hAnsi="Palatino Linotype"/>
          <w:b/>
          <w:bCs/>
          <w:color w:val="000000"/>
          <w:sz w:val="24"/>
          <w:szCs w:val="14"/>
        </w:rPr>
        <w:t>Organismo Descentralizado para la Prestación de Los Servicios del Agua Potable Alcantarillado y Saneamiento de Tecámac</w:t>
      </w:r>
      <w:r w:rsidR="00B26501">
        <w:rPr>
          <w:rFonts w:ascii="Palatino Linotype" w:hAnsi="Palatino Linotype"/>
          <w:b/>
          <w:bCs/>
          <w:color w:val="000000"/>
          <w:sz w:val="24"/>
          <w:szCs w:val="14"/>
        </w:rPr>
        <w:t xml:space="preserve"> </w:t>
      </w:r>
      <w:r w:rsidRPr="00B26501">
        <w:rPr>
          <w:rFonts w:ascii="Palatino Linotype" w:hAnsi="Palatino Linotype" w:cs="Arial"/>
          <w:sz w:val="24"/>
          <w:szCs w:val="24"/>
        </w:rPr>
        <w:t>procedimiento a</w:t>
      </w:r>
      <w:r w:rsidR="0000525F" w:rsidRPr="00B26501">
        <w:rPr>
          <w:rFonts w:ascii="Palatino Linotype" w:hAnsi="Palatino Linotype" w:cs="Arial"/>
          <w:sz w:val="24"/>
          <w:szCs w:val="24"/>
        </w:rPr>
        <w:t>l</w:t>
      </w:r>
      <w:r w:rsidR="00902248" w:rsidRPr="00B26501">
        <w:rPr>
          <w:rFonts w:ascii="Palatino Linotype" w:hAnsi="Palatino Linotype" w:cs="Arial"/>
          <w:sz w:val="24"/>
          <w:szCs w:val="24"/>
        </w:rPr>
        <w:t xml:space="preserve"> que se le asignó </w:t>
      </w:r>
      <w:r w:rsidR="0000525F" w:rsidRPr="00B26501">
        <w:rPr>
          <w:rFonts w:ascii="Palatino Linotype" w:hAnsi="Palatino Linotype" w:cs="Arial"/>
          <w:sz w:val="24"/>
          <w:szCs w:val="24"/>
        </w:rPr>
        <w:t>el</w:t>
      </w:r>
      <w:r w:rsidRPr="00B26501">
        <w:rPr>
          <w:rFonts w:ascii="Palatino Linotype" w:hAnsi="Palatino Linotype" w:cs="Arial"/>
          <w:sz w:val="24"/>
          <w:szCs w:val="24"/>
        </w:rPr>
        <w:t xml:space="preserve"> número de expediente </w:t>
      </w:r>
      <w:r w:rsidR="0076241F" w:rsidRPr="00B26501">
        <w:rPr>
          <w:rFonts w:ascii="Palatino Linotype" w:eastAsia="Times New Roman" w:hAnsi="Palatino Linotype" w:cs="Arial"/>
          <w:b/>
          <w:bCs/>
          <w:sz w:val="24"/>
          <w:szCs w:val="24"/>
          <w:lang w:eastAsia="es-ES"/>
        </w:rPr>
        <w:t>0</w:t>
      </w:r>
      <w:r w:rsidR="00B26501" w:rsidRPr="00B26501">
        <w:rPr>
          <w:rFonts w:ascii="Palatino Linotype" w:eastAsia="Times New Roman" w:hAnsi="Palatino Linotype" w:cs="Arial"/>
          <w:b/>
          <w:bCs/>
          <w:sz w:val="24"/>
          <w:szCs w:val="24"/>
          <w:lang w:eastAsia="es-ES"/>
        </w:rPr>
        <w:t>4409</w:t>
      </w:r>
      <w:r w:rsidR="00C7250F" w:rsidRPr="00B26501">
        <w:rPr>
          <w:rFonts w:ascii="Palatino Linotype" w:eastAsia="Times New Roman" w:hAnsi="Palatino Linotype" w:cs="Arial"/>
          <w:b/>
          <w:bCs/>
          <w:sz w:val="24"/>
          <w:szCs w:val="24"/>
          <w:lang w:eastAsia="es-ES"/>
        </w:rPr>
        <w:t>/INFOEM/IP/RR/2018</w:t>
      </w:r>
      <w:r w:rsidR="0000525F" w:rsidRPr="00B26501">
        <w:rPr>
          <w:rFonts w:ascii="Palatino Linotype" w:eastAsia="Times New Roman" w:hAnsi="Palatino Linotype" w:cs="Arial"/>
          <w:b/>
          <w:bCs/>
          <w:sz w:val="24"/>
          <w:szCs w:val="24"/>
          <w:lang w:eastAsia="es-ES"/>
        </w:rPr>
        <w:t>.</w:t>
      </w:r>
      <w:r w:rsidR="003973AC" w:rsidRPr="00B26501">
        <w:rPr>
          <w:rFonts w:ascii="Palatino Linotype" w:eastAsia="Times New Roman" w:hAnsi="Palatino Linotype" w:cs="Arial"/>
          <w:b/>
          <w:bCs/>
          <w:sz w:val="24"/>
          <w:szCs w:val="24"/>
          <w:lang w:eastAsia="es-ES"/>
        </w:rPr>
        <w:t xml:space="preserve"> </w:t>
      </w:r>
    </w:p>
    <w:p w:rsidR="000E57DB" w:rsidRPr="0009123A" w:rsidRDefault="000E57DB" w:rsidP="000E57DB">
      <w:pPr>
        <w:pStyle w:val="Prrafodelista"/>
        <w:spacing w:after="0" w:line="360" w:lineRule="auto"/>
        <w:ind w:left="426"/>
        <w:jc w:val="both"/>
        <w:rPr>
          <w:rFonts w:ascii="Palatino Linotype" w:hAnsi="Palatino Linotype" w:cs="Arial"/>
          <w:sz w:val="24"/>
          <w:szCs w:val="24"/>
        </w:rPr>
      </w:pPr>
    </w:p>
    <w:p w:rsidR="000E57DB" w:rsidRDefault="00C7250F" w:rsidP="006117A6">
      <w:pPr>
        <w:pStyle w:val="Prrafodelista"/>
        <w:numPr>
          <w:ilvl w:val="0"/>
          <w:numId w:val="1"/>
        </w:numPr>
        <w:spacing w:before="240" w:after="240" w:line="360" w:lineRule="auto"/>
        <w:ind w:right="49"/>
        <w:jc w:val="both"/>
        <w:rPr>
          <w:rFonts w:ascii="Palatino Linotype" w:hAnsi="Palatino Linotype" w:cs="Arial"/>
          <w:sz w:val="24"/>
          <w:szCs w:val="24"/>
        </w:rPr>
      </w:pPr>
      <w:r w:rsidRPr="0009123A">
        <w:rPr>
          <w:rFonts w:ascii="Palatino Linotype" w:hAnsi="Palatino Linotype" w:cs="Arial"/>
          <w:sz w:val="24"/>
          <w:szCs w:val="24"/>
        </w:rPr>
        <w:t xml:space="preserve">El sentido de la Resolución puntualmente determina </w:t>
      </w:r>
      <w:r w:rsidR="000E57DB">
        <w:rPr>
          <w:rFonts w:ascii="Palatino Linotype" w:hAnsi="Palatino Linotype" w:cs="Arial"/>
          <w:b/>
          <w:sz w:val="24"/>
          <w:szCs w:val="24"/>
        </w:rPr>
        <w:t xml:space="preserve">MODIFICAR </w:t>
      </w:r>
      <w:r w:rsidR="000E57DB" w:rsidRPr="000E57DB">
        <w:rPr>
          <w:rFonts w:ascii="Palatino Linotype" w:hAnsi="Palatino Linotype" w:cs="Arial"/>
          <w:sz w:val="24"/>
          <w:szCs w:val="24"/>
        </w:rPr>
        <w:t>la respuesta del Sujeto Obligado y ordena entregar lo siguiente:</w:t>
      </w:r>
    </w:p>
    <w:p w:rsidR="000E57DB" w:rsidRPr="000E57DB" w:rsidRDefault="000E57DB" w:rsidP="000E57DB">
      <w:pPr>
        <w:pStyle w:val="Prrafodelista"/>
        <w:spacing w:before="240" w:after="240" w:line="360" w:lineRule="auto"/>
        <w:ind w:left="360" w:right="49"/>
        <w:jc w:val="both"/>
        <w:rPr>
          <w:rFonts w:ascii="Palatino Linotype" w:hAnsi="Palatino Linotype" w:cs="Arial"/>
          <w:sz w:val="24"/>
          <w:szCs w:val="24"/>
        </w:rPr>
      </w:pPr>
    </w:p>
    <w:p w:rsidR="00B26501" w:rsidRPr="00B26501" w:rsidRDefault="00347624" w:rsidP="00B26501">
      <w:pPr>
        <w:pStyle w:val="Prrafodelista"/>
        <w:numPr>
          <w:ilvl w:val="0"/>
          <w:numId w:val="25"/>
        </w:numPr>
        <w:shd w:val="clear" w:color="auto" w:fill="FFFFFF"/>
        <w:spacing w:before="240" w:after="240" w:line="360" w:lineRule="auto"/>
        <w:ind w:right="51"/>
        <w:jc w:val="both"/>
        <w:rPr>
          <w:rFonts w:ascii="Palatino Linotype" w:hAnsi="Palatino Linotype"/>
          <w:b/>
          <w:lang w:eastAsia="es-MX"/>
        </w:rPr>
      </w:pPr>
      <w:r w:rsidRPr="00B26501">
        <w:rPr>
          <w:rFonts w:ascii="Palatino Linotype" w:hAnsi="Palatino Linotype" w:cs="Arial"/>
          <w:b/>
          <w:sz w:val="24"/>
          <w:szCs w:val="24"/>
        </w:rPr>
        <w:t xml:space="preserve"> </w:t>
      </w:r>
      <w:r w:rsidR="00B26501" w:rsidRPr="00B26501">
        <w:rPr>
          <w:rFonts w:ascii="Palatino Linotype" w:hAnsi="Palatino Linotype"/>
          <w:b/>
          <w:lang w:eastAsia="es-MX"/>
        </w:rPr>
        <w:t>Recibos de nómina de los servidores públicos adscritos al sujeto obligado, generados de la primera quincena de enero a la segunda quincena de octubre de dos mil dieciocho</w:t>
      </w:r>
      <w:r w:rsidR="00B26501">
        <w:rPr>
          <w:rFonts w:ascii="Palatino Linotype" w:hAnsi="Palatino Linotype"/>
          <w:b/>
          <w:lang w:eastAsia="es-MX"/>
        </w:rPr>
        <w:t>;</w:t>
      </w:r>
    </w:p>
    <w:p w:rsidR="00B26501" w:rsidRPr="00B26501" w:rsidRDefault="00B26501" w:rsidP="00B26501">
      <w:pPr>
        <w:pStyle w:val="Prrafodelista"/>
        <w:numPr>
          <w:ilvl w:val="0"/>
          <w:numId w:val="25"/>
        </w:numPr>
        <w:shd w:val="clear" w:color="auto" w:fill="FFFFFF"/>
        <w:spacing w:before="240" w:after="240" w:line="360" w:lineRule="auto"/>
        <w:ind w:right="51"/>
        <w:jc w:val="both"/>
        <w:rPr>
          <w:rFonts w:ascii="Palatino Linotype" w:hAnsi="Palatino Linotype"/>
          <w:b/>
          <w:lang w:eastAsia="es-MX"/>
        </w:rPr>
      </w:pPr>
      <w:r w:rsidRPr="00B26501">
        <w:rPr>
          <w:rFonts w:ascii="Palatino Linotype" w:hAnsi="Palatino Linotype"/>
          <w:b/>
          <w:lang w:eastAsia="es-MX"/>
        </w:rPr>
        <w:t>Altas y bajas de bienes muebles e inmuebles del periodo del primero  de enero al nueve de</w:t>
      </w:r>
      <w:r>
        <w:rPr>
          <w:rFonts w:ascii="Palatino Linotype" w:hAnsi="Palatino Linotype"/>
          <w:b/>
          <w:lang w:eastAsia="es-MX"/>
        </w:rPr>
        <w:t xml:space="preserve"> noviembre de dos mil dieciocho; y, </w:t>
      </w:r>
    </w:p>
    <w:p w:rsidR="00B26501" w:rsidRPr="00B26501" w:rsidRDefault="00B26501" w:rsidP="00B26501">
      <w:pPr>
        <w:pStyle w:val="Prrafodelista"/>
        <w:numPr>
          <w:ilvl w:val="0"/>
          <w:numId w:val="25"/>
        </w:numPr>
        <w:shd w:val="clear" w:color="auto" w:fill="FFFFFF"/>
        <w:spacing w:before="240" w:after="240" w:line="360" w:lineRule="auto"/>
        <w:ind w:right="51"/>
        <w:jc w:val="both"/>
        <w:rPr>
          <w:rFonts w:ascii="Palatino Linotype" w:hAnsi="Palatino Linotype"/>
          <w:b/>
          <w:lang w:eastAsia="es-MX"/>
        </w:rPr>
      </w:pPr>
      <w:r w:rsidRPr="00B26501">
        <w:rPr>
          <w:rFonts w:ascii="Palatino Linotype" w:hAnsi="Palatino Linotype"/>
          <w:b/>
          <w:lang w:eastAsia="es-MX"/>
        </w:rPr>
        <w:t>Balanza de comprobación detallada del periodo del primero  de enero al nueve de noviembre de dos mil dieciocho.</w:t>
      </w:r>
    </w:p>
    <w:p w:rsidR="00B26501" w:rsidRDefault="00B26501" w:rsidP="00B26501">
      <w:pPr>
        <w:pStyle w:val="Prrafodelista"/>
        <w:shd w:val="clear" w:color="auto" w:fill="FFFFFF"/>
        <w:spacing w:before="240" w:after="240" w:line="360" w:lineRule="auto"/>
        <w:ind w:right="51"/>
        <w:jc w:val="both"/>
        <w:rPr>
          <w:rFonts w:ascii="Palatino Linotype" w:hAnsi="Palatino Linotype"/>
          <w:lang w:eastAsia="es-MX"/>
        </w:rPr>
      </w:pPr>
    </w:p>
    <w:p w:rsidR="00702BD9" w:rsidRPr="00B26501" w:rsidRDefault="00702BD9" w:rsidP="00B26501">
      <w:pPr>
        <w:pStyle w:val="Prrafodelista"/>
        <w:spacing w:before="240" w:after="240" w:line="360" w:lineRule="auto"/>
        <w:ind w:left="360" w:right="49"/>
        <w:jc w:val="both"/>
        <w:rPr>
          <w:rFonts w:ascii="Palatino Linotype" w:hAnsi="Palatino Linotype" w:cs="Arial"/>
          <w:sz w:val="24"/>
          <w:szCs w:val="24"/>
        </w:rPr>
      </w:pPr>
    </w:p>
    <w:p w:rsidR="0046491C" w:rsidRPr="0009123A" w:rsidRDefault="0046491C" w:rsidP="00E34F08">
      <w:pPr>
        <w:pStyle w:val="Prrafodelista"/>
        <w:numPr>
          <w:ilvl w:val="0"/>
          <w:numId w:val="1"/>
        </w:numPr>
        <w:spacing w:line="360" w:lineRule="auto"/>
        <w:jc w:val="both"/>
        <w:rPr>
          <w:rFonts w:ascii="Palatino Linotype" w:hAnsi="Palatino Linotype" w:cs="Arial"/>
          <w:sz w:val="24"/>
          <w:szCs w:val="24"/>
        </w:rPr>
      </w:pPr>
      <w:r w:rsidRPr="0009123A">
        <w:rPr>
          <w:rFonts w:ascii="Palatino Linotype" w:hAnsi="Palatino Linotype" w:cs="Arial"/>
          <w:sz w:val="24"/>
          <w:szCs w:val="24"/>
        </w:rPr>
        <w:lastRenderedPageBreak/>
        <w:t xml:space="preserve">Por tal motivo y en términos de lo señalado por los artículos </w:t>
      </w:r>
      <w:r w:rsidR="00AA49F3" w:rsidRPr="0009123A">
        <w:rPr>
          <w:rFonts w:ascii="Palatino Linotype" w:hAnsi="Palatino Linotype" w:cs="Arial"/>
          <w:sz w:val="24"/>
          <w:szCs w:val="24"/>
        </w:rPr>
        <w:t>14</w:t>
      </w:r>
      <w:r w:rsidRPr="0009123A">
        <w:rPr>
          <w:rFonts w:ascii="Palatino Linotype" w:hAnsi="Palatino Linotype" w:cs="Arial"/>
          <w:sz w:val="24"/>
          <w:szCs w:val="24"/>
        </w:rPr>
        <w:t xml:space="preserve"> fracción </w:t>
      </w:r>
      <w:r w:rsidR="00AA49F3" w:rsidRPr="0009123A">
        <w:rPr>
          <w:rFonts w:ascii="Palatino Linotype" w:hAnsi="Palatino Linotype" w:cs="Arial"/>
          <w:sz w:val="24"/>
          <w:szCs w:val="24"/>
        </w:rPr>
        <w:t>XI</w:t>
      </w:r>
      <w:r w:rsidRPr="0009123A">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9123A" w:rsidRDefault="0001046D" w:rsidP="00E34F08">
      <w:pPr>
        <w:pStyle w:val="Prrafodelista"/>
        <w:rPr>
          <w:rFonts w:ascii="Palatino Linotype" w:hAnsi="Palatino Linotype" w:cs="Arial"/>
          <w:sz w:val="24"/>
          <w:szCs w:val="24"/>
        </w:rPr>
      </w:pP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1" w:name="_Toc534976972"/>
      <w:r w:rsidRPr="0009123A">
        <w:rPr>
          <w:rFonts w:ascii="Palatino Linotype" w:hAnsi="Palatino Linotype"/>
          <w:b/>
          <w:color w:val="auto"/>
          <w:sz w:val="24"/>
          <w:szCs w:val="24"/>
        </w:rPr>
        <w:t>De los requerimientos planteados en el recurso de revisión.</w:t>
      </w:r>
      <w:bookmarkEnd w:id="1"/>
    </w:p>
    <w:p w:rsidR="0046491C" w:rsidRPr="0009123A" w:rsidRDefault="0046491C" w:rsidP="00E34F08">
      <w:pPr>
        <w:pStyle w:val="Prrafodelista"/>
        <w:spacing w:line="360" w:lineRule="auto"/>
        <w:ind w:left="1080"/>
        <w:jc w:val="both"/>
        <w:rPr>
          <w:rFonts w:ascii="Palatino Linotype" w:hAnsi="Palatino Linotype" w:cs="Arial"/>
          <w:sz w:val="24"/>
          <w:szCs w:val="24"/>
        </w:rPr>
      </w:pPr>
    </w:p>
    <w:p w:rsidR="00B26501" w:rsidRPr="00B26501" w:rsidRDefault="009D2892" w:rsidP="00D8230A">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09123A">
        <w:rPr>
          <w:rFonts w:ascii="Palatino Linotype" w:hAnsi="Palatino Linotype" w:cs="Arial"/>
          <w:sz w:val="24"/>
          <w:szCs w:val="24"/>
        </w:rPr>
        <w:t>La parte recurrente</w:t>
      </w:r>
      <w:r w:rsidR="000D1743" w:rsidRPr="0009123A">
        <w:rPr>
          <w:rFonts w:ascii="Palatino Linotype" w:hAnsi="Palatino Linotype" w:cs="Arial"/>
          <w:sz w:val="24"/>
          <w:szCs w:val="24"/>
        </w:rPr>
        <w:t xml:space="preserve"> solicitó </w:t>
      </w:r>
      <w:r w:rsidRPr="0009123A">
        <w:rPr>
          <w:rFonts w:ascii="Palatino Linotype" w:hAnsi="Palatino Linotype" w:cs="Arial"/>
          <w:sz w:val="24"/>
          <w:szCs w:val="24"/>
        </w:rPr>
        <w:t xml:space="preserve">al </w:t>
      </w:r>
      <w:r w:rsidR="00B26501">
        <w:rPr>
          <w:rFonts w:ascii="Palatino Linotype" w:hAnsi="Palatino Linotype" w:cs="Arial"/>
          <w:sz w:val="24"/>
          <w:szCs w:val="24"/>
        </w:rPr>
        <w:t>Sujeto Obligado lo siguiente:</w:t>
      </w:r>
    </w:p>
    <w:p w:rsidR="00B26501" w:rsidRPr="00B26501" w:rsidRDefault="00B26501" w:rsidP="00B26501">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777181" w:rsidRDefault="00B26501" w:rsidP="00777181">
      <w:pPr>
        <w:pStyle w:val="Prrafodelista"/>
        <w:spacing w:after="0" w:line="360" w:lineRule="auto"/>
        <w:ind w:left="360"/>
        <w:jc w:val="both"/>
        <w:rPr>
          <w:rFonts w:ascii="Palatino Linotype" w:hAnsi="Palatino Linotype"/>
          <w:i/>
          <w:color w:val="000000"/>
          <w:szCs w:val="14"/>
        </w:rPr>
      </w:pPr>
      <w:r>
        <w:rPr>
          <w:rFonts w:ascii="Palatino Linotype" w:hAnsi="Palatino Linotype"/>
          <w:i/>
          <w:color w:val="000000"/>
          <w:szCs w:val="14"/>
        </w:rPr>
        <w:t>“</w:t>
      </w:r>
      <w:r w:rsidRPr="00B26501">
        <w:rPr>
          <w:rFonts w:ascii="Palatino Linotype" w:hAnsi="Palatino Linotype"/>
          <w:i/>
          <w:color w:val="000000"/>
          <w:szCs w:val="14"/>
        </w:rPr>
        <w:t>SOLICITO LOS RECIBOS DE NOMINA DE ENERO A OCTUBRE DEL AÑO 2018, ASÍ COMO SU MANUAL DE ORGANIZACIÓN, REGLAMENTO INTERNO, TABULADOR DE SUELDOS, ACTAS DE CONSEJO DIRECTIVO DEL MISMO AÑO; A SU VEZ SOLICITO EL INVENTARIO DE BIENES MUEBLES E INMUEBLES CON SUS RESPECTIVAS ALTAS Y BAJAS DEL AÑO EN CURSO ASÍ COMO LA BALANZA DE COMPROBACIÓN DE LOS MISMOS. SOLICITANDO SU PROGRAMA ANUAL DE OBRA 2018 EN CONJUNTO CON SUS PBR DE LOS TRES TRIMESTRES ANTERIORES.</w:t>
      </w:r>
      <w:r>
        <w:rPr>
          <w:rFonts w:ascii="Palatino Linotype" w:hAnsi="Palatino Linotype"/>
          <w:i/>
          <w:color w:val="000000"/>
          <w:szCs w:val="14"/>
        </w:rPr>
        <w:t>” (</w:t>
      </w:r>
      <w:proofErr w:type="gramStart"/>
      <w:r>
        <w:rPr>
          <w:rFonts w:ascii="Palatino Linotype" w:hAnsi="Palatino Linotype"/>
          <w:i/>
          <w:color w:val="000000"/>
          <w:szCs w:val="14"/>
        </w:rPr>
        <w:t>sic</w:t>
      </w:r>
      <w:proofErr w:type="gramEnd"/>
      <w:r>
        <w:rPr>
          <w:rFonts w:ascii="Palatino Linotype" w:hAnsi="Palatino Linotype"/>
          <w:i/>
          <w:color w:val="000000"/>
          <w:szCs w:val="14"/>
        </w:rPr>
        <w:t>)</w:t>
      </w:r>
    </w:p>
    <w:p w:rsidR="00B26501" w:rsidRPr="00B26501" w:rsidRDefault="00B26501" w:rsidP="00B26501">
      <w:pPr>
        <w:spacing w:after="0" w:line="360" w:lineRule="auto"/>
        <w:jc w:val="both"/>
        <w:rPr>
          <w:rFonts w:ascii="Palatino Linotype" w:hAnsi="Palatino Linotype"/>
          <w:i/>
          <w:color w:val="000000"/>
          <w:szCs w:val="14"/>
        </w:rPr>
      </w:pPr>
    </w:p>
    <w:p w:rsidR="00B26501" w:rsidRPr="00B26501" w:rsidRDefault="00B26501" w:rsidP="00B26501">
      <w:pPr>
        <w:pStyle w:val="Prrafodelista"/>
        <w:numPr>
          <w:ilvl w:val="0"/>
          <w:numId w:val="1"/>
        </w:numPr>
        <w:tabs>
          <w:tab w:val="left" w:pos="4962"/>
        </w:tabs>
        <w:spacing w:line="360" w:lineRule="auto"/>
        <w:jc w:val="both"/>
        <w:rPr>
          <w:rFonts w:ascii="Palatino Linotype" w:eastAsia="Calibri" w:hAnsi="Palatino Linotype" w:cs="Tahoma"/>
          <w:iCs/>
          <w:sz w:val="24"/>
          <w:szCs w:val="24"/>
          <w:lang w:val="es-ES" w:eastAsia="es-ES_tradnl"/>
        </w:rPr>
      </w:pPr>
      <w:r w:rsidRPr="00B26501">
        <w:rPr>
          <w:rFonts w:ascii="Palatino Linotype" w:hAnsi="Palatino Linotype" w:cs="Arial"/>
        </w:rPr>
        <w:t>En respuesta el sujeto obligado remitió diversos documentos a través del Sistema de Acceso a la Información Mexiquense efecto de atender la solicitud, en los que se advierte lo siguiente:</w:t>
      </w:r>
    </w:p>
    <w:p w:rsidR="00B26501" w:rsidRPr="000174FC" w:rsidRDefault="00B26501" w:rsidP="00B26501">
      <w:pPr>
        <w:spacing w:before="240" w:after="240"/>
        <w:ind w:left="284"/>
        <w:jc w:val="both"/>
        <w:rPr>
          <w:rFonts w:ascii="Palatino Linotype" w:hAnsi="Palatino Linotype" w:cs="Arial"/>
        </w:rPr>
      </w:pPr>
      <w:r w:rsidRPr="000174FC">
        <w:rPr>
          <w:rFonts w:ascii="Palatino Linotype" w:hAnsi="Palatino Linotype" w:cs="Arial"/>
        </w:rPr>
        <w:t>- Manual de Organización ODAPAS Tecámac, constante de 51 fojas útiles.</w:t>
      </w:r>
    </w:p>
    <w:p w:rsidR="00B26501" w:rsidRPr="000174FC" w:rsidRDefault="00B26501" w:rsidP="00B26501">
      <w:pPr>
        <w:spacing w:before="240" w:after="240"/>
        <w:ind w:left="284"/>
        <w:jc w:val="both"/>
        <w:rPr>
          <w:rFonts w:ascii="Palatino Linotype" w:hAnsi="Palatino Linotype" w:cs="Arial"/>
        </w:rPr>
      </w:pPr>
      <w:r w:rsidRPr="000174FC">
        <w:rPr>
          <w:rFonts w:ascii="Palatino Linotype" w:hAnsi="Palatino Linotype" w:cs="Arial"/>
        </w:rPr>
        <w:t>- Reglamento Interno ODAPAS Tecámac, constante de 44 fojas útiles.</w:t>
      </w:r>
    </w:p>
    <w:p w:rsidR="00B26501" w:rsidRPr="000174FC" w:rsidRDefault="00B26501" w:rsidP="00B26501">
      <w:pPr>
        <w:spacing w:before="240" w:after="240"/>
        <w:ind w:left="284"/>
        <w:jc w:val="both"/>
        <w:rPr>
          <w:rFonts w:ascii="Palatino Linotype" w:hAnsi="Palatino Linotype" w:cs="Arial"/>
        </w:rPr>
      </w:pPr>
      <w:r w:rsidRPr="000174FC">
        <w:rPr>
          <w:rFonts w:ascii="Palatino Linotype" w:hAnsi="Palatino Linotype" w:cs="Arial"/>
        </w:rPr>
        <w:lastRenderedPageBreak/>
        <w:t xml:space="preserve">- </w:t>
      </w:r>
      <w:proofErr w:type="spellStart"/>
      <w:r w:rsidRPr="000174FC">
        <w:rPr>
          <w:rFonts w:ascii="Palatino Linotype" w:hAnsi="Palatino Linotype" w:cs="Arial"/>
        </w:rPr>
        <w:t>PbRM</w:t>
      </w:r>
      <w:proofErr w:type="spellEnd"/>
      <w:r w:rsidRPr="000174FC">
        <w:rPr>
          <w:rFonts w:ascii="Palatino Linotype" w:hAnsi="Palatino Linotype" w:cs="Arial"/>
        </w:rPr>
        <w:t xml:space="preserve"> 05 - Tabulador de sueldos, del 01 de enero al 31 de diciembre de 2018.</w:t>
      </w:r>
    </w:p>
    <w:p w:rsidR="00B26501" w:rsidRPr="000174FC" w:rsidRDefault="00B26501" w:rsidP="00B26501">
      <w:pPr>
        <w:spacing w:before="240" w:after="240"/>
        <w:ind w:left="284"/>
        <w:jc w:val="both"/>
        <w:rPr>
          <w:rFonts w:ascii="Palatino Linotype" w:hAnsi="Palatino Linotype" w:cs="Arial"/>
        </w:rPr>
      </w:pPr>
      <w:r w:rsidRPr="000174FC">
        <w:rPr>
          <w:rFonts w:ascii="Palatino Linotype" w:hAnsi="Palatino Linotype" w:cs="Arial"/>
        </w:rPr>
        <w:t xml:space="preserve">- Actas de Consejo, de las sesiones ordinarias: 12ª, 13ª  y 14ª, y de las sesiones extraordinarias: 10ª, 11ª, 12ª, y 13ª. </w:t>
      </w:r>
    </w:p>
    <w:p w:rsidR="00B26501" w:rsidRPr="000174FC" w:rsidRDefault="00B26501" w:rsidP="00B26501">
      <w:pPr>
        <w:spacing w:before="240" w:after="240"/>
        <w:ind w:left="284"/>
        <w:jc w:val="both"/>
        <w:rPr>
          <w:rFonts w:ascii="Palatino Linotype" w:hAnsi="Palatino Linotype" w:cs="Arial"/>
        </w:rPr>
      </w:pPr>
      <w:r w:rsidRPr="000174FC">
        <w:rPr>
          <w:rFonts w:ascii="Palatino Linotype" w:hAnsi="Palatino Linotype" w:cs="Arial"/>
        </w:rPr>
        <w:t>- Cédula de bienes muebles.</w:t>
      </w:r>
    </w:p>
    <w:p w:rsidR="00B26501" w:rsidRPr="000174FC" w:rsidRDefault="00B26501" w:rsidP="00B26501">
      <w:pPr>
        <w:spacing w:before="240" w:after="240"/>
        <w:ind w:left="284"/>
        <w:jc w:val="both"/>
        <w:rPr>
          <w:rFonts w:ascii="Palatino Linotype" w:hAnsi="Palatino Linotype" w:cs="Arial"/>
        </w:rPr>
      </w:pPr>
      <w:r w:rsidRPr="000174FC">
        <w:rPr>
          <w:rFonts w:ascii="Palatino Linotype" w:hAnsi="Palatino Linotype" w:cs="Arial"/>
        </w:rPr>
        <w:t>- Programa anual de obra, en el que se advierten 8 obras así como su costo.</w:t>
      </w:r>
    </w:p>
    <w:p w:rsidR="00B26501" w:rsidRPr="000174FC" w:rsidRDefault="00B26501" w:rsidP="00B26501">
      <w:pPr>
        <w:spacing w:before="240" w:after="240"/>
        <w:ind w:left="284"/>
        <w:jc w:val="both"/>
        <w:rPr>
          <w:rFonts w:ascii="Palatino Linotype" w:hAnsi="Palatino Linotype" w:cs="Arial"/>
        </w:rPr>
      </w:pPr>
      <w:r w:rsidRPr="000174FC">
        <w:rPr>
          <w:rFonts w:ascii="Palatino Linotype" w:hAnsi="Palatino Linotype" w:cs="Arial"/>
        </w:rPr>
        <w:t>- PbRM-08c trimestre julio – septiembre.</w:t>
      </w:r>
    </w:p>
    <w:p w:rsidR="00B26501" w:rsidRPr="000174FC" w:rsidRDefault="00B26501" w:rsidP="00B26501">
      <w:pPr>
        <w:spacing w:before="240" w:after="240"/>
        <w:ind w:left="284"/>
        <w:jc w:val="both"/>
        <w:rPr>
          <w:rFonts w:ascii="Palatino Linotype" w:hAnsi="Palatino Linotype" w:cs="Arial"/>
        </w:rPr>
      </w:pPr>
      <w:r w:rsidRPr="000174FC">
        <w:rPr>
          <w:rFonts w:ascii="Palatino Linotype" w:hAnsi="Palatino Linotype" w:cs="Arial"/>
        </w:rPr>
        <w:t>- PbRM-8b trimestre julio – septiembre.</w:t>
      </w:r>
    </w:p>
    <w:p w:rsidR="000E57DB" w:rsidRDefault="000E57DB" w:rsidP="000E57DB">
      <w:pPr>
        <w:pStyle w:val="Prrafodelista"/>
        <w:tabs>
          <w:tab w:val="left" w:pos="4962"/>
        </w:tabs>
        <w:spacing w:line="360" w:lineRule="auto"/>
        <w:ind w:left="360"/>
        <w:jc w:val="both"/>
        <w:rPr>
          <w:rFonts w:ascii="Palatino Linotype" w:eastAsia="Calibri" w:hAnsi="Palatino Linotype" w:cs="Tahoma"/>
          <w:iCs/>
          <w:sz w:val="24"/>
          <w:szCs w:val="24"/>
          <w:lang w:val="es-ES" w:eastAsia="es-ES_tradnl"/>
        </w:rPr>
      </w:pPr>
    </w:p>
    <w:p w:rsidR="00B26501" w:rsidRPr="00B26501" w:rsidRDefault="009D2892" w:rsidP="009D2892">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09123A">
        <w:rPr>
          <w:rFonts w:ascii="Palatino Linotype" w:hAnsi="Palatino Linotype" w:cs="Arial"/>
          <w:sz w:val="24"/>
          <w:szCs w:val="24"/>
        </w:rPr>
        <w:t xml:space="preserve">La recurrente </w:t>
      </w:r>
      <w:r w:rsidR="00B26501">
        <w:rPr>
          <w:rFonts w:ascii="Palatino Linotype" w:eastAsia="Calibri" w:hAnsi="Palatino Linotype" w:cs="Arial"/>
          <w:lang w:eastAsia="es-MX"/>
        </w:rPr>
        <w:t>se inconformó porque no se anexó las altas y bajas de bienes muebles y la balanza de comprobación.</w:t>
      </w:r>
    </w:p>
    <w:p w:rsidR="00B26501" w:rsidRPr="00B26501" w:rsidRDefault="00B26501" w:rsidP="00B26501">
      <w:pPr>
        <w:spacing w:after="0" w:line="360" w:lineRule="auto"/>
        <w:jc w:val="both"/>
        <w:rPr>
          <w:rFonts w:ascii="Palatino Linotype" w:eastAsia="Times New Roman" w:hAnsi="Palatino Linotype" w:cs="Times New Roman"/>
          <w:i/>
          <w:sz w:val="24"/>
          <w:szCs w:val="24"/>
          <w:lang w:val="es-ES_tradnl" w:eastAsia="es-ES"/>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Si bien es de destacar, </w:t>
      </w:r>
      <w:r w:rsidR="00AE4797" w:rsidRPr="0009123A">
        <w:rPr>
          <w:rFonts w:ascii="Palatino Linotype" w:hAnsi="Palatino Linotype" w:cs="Arial"/>
          <w:sz w:val="24"/>
          <w:szCs w:val="24"/>
        </w:rPr>
        <w:t>que el Sujeto Obligado atiende la solicitud</w:t>
      </w:r>
      <w:r w:rsidR="00643C7E" w:rsidRPr="0009123A">
        <w:rPr>
          <w:rFonts w:ascii="Palatino Linotype" w:hAnsi="Palatino Linotype" w:cs="Arial"/>
          <w:sz w:val="24"/>
          <w:szCs w:val="24"/>
        </w:rPr>
        <w:t xml:space="preserve">, también lo es que el recurrente no se inconformó sobre la totalidad de la respuesta, </w:t>
      </w:r>
      <w:r w:rsidR="00FC5012" w:rsidRPr="0009123A">
        <w:rPr>
          <w:rFonts w:ascii="Palatino Linotype" w:hAnsi="Palatino Linotype" w:cs="Arial"/>
          <w:sz w:val="24"/>
          <w:szCs w:val="24"/>
        </w:rPr>
        <w:t xml:space="preserve">sin embargo, </w:t>
      </w:r>
      <w:r w:rsidRPr="0009123A">
        <w:rPr>
          <w:rFonts w:ascii="Palatino Linotype" w:hAnsi="Palatino Linotype" w:cs="Arial"/>
          <w:sz w:val="24"/>
          <w:szCs w:val="24"/>
        </w:rPr>
        <w:t xml:space="preserve">en el estudio y desarrollo de dicha resolución fueron invocados los llamados </w:t>
      </w:r>
      <w:r w:rsidR="006D268B" w:rsidRPr="0009123A">
        <w:rPr>
          <w:rFonts w:ascii="Palatino Linotype" w:hAnsi="Palatino Linotype" w:cs="Arial"/>
          <w:sz w:val="24"/>
          <w:szCs w:val="24"/>
        </w:rPr>
        <w:t>“</w:t>
      </w:r>
      <w:r w:rsidRPr="0009123A">
        <w:rPr>
          <w:rFonts w:ascii="Palatino Linotype" w:hAnsi="Palatino Linotype" w:cs="Arial"/>
          <w:sz w:val="24"/>
          <w:szCs w:val="24"/>
        </w:rPr>
        <w:t>actos consentidos</w:t>
      </w:r>
      <w:r w:rsidR="006D268B" w:rsidRPr="0009123A">
        <w:rPr>
          <w:rFonts w:ascii="Palatino Linotype" w:hAnsi="Palatino Linotype" w:cs="Arial"/>
          <w:sz w:val="24"/>
          <w:szCs w:val="24"/>
        </w:rPr>
        <w:t>”</w:t>
      </w:r>
      <w:r w:rsidRPr="0009123A">
        <w:rPr>
          <w:rFonts w:ascii="Palatino Linotype" w:hAnsi="Palatino Linotype" w:cs="Arial"/>
          <w:sz w:val="24"/>
          <w:szCs w:val="24"/>
        </w:rPr>
        <w:t>, tal y como se observa en las siguientes líneas de la resolución en comento:</w:t>
      </w:r>
    </w:p>
    <w:p w:rsidR="008702E8" w:rsidRPr="0009123A" w:rsidRDefault="008702E8" w:rsidP="008702E8">
      <w:pPr>
        <w:pStyle w:val="Prrafodelista"/>
        <w:rPr>
          <w:rFonts w:ascii="Palatino Linotype" w:hAnsi="Palatino Linotype" w:cs="Arial"/>
          <w:sz w:val="24"/>
          <w:szCs w:val="24"/>
        </w:rPr>
      </w:pPr>
    </w:p>
    <w:p w:rsidR="00B26501" w:rsidRPr="00B26501" w:rsidRDefault="0069498B" w:rsidP="00B26501">
      <w:pPr>
        <w:tabs>
          <w:tab w:val="left" w:pos="4962"/>
        </w:tabs>
        <w:spacing w:line="360" w:lineRule="auto"/>
        <w:ind w:left="567" w:right="616"/>
        <w:jc w:val="both"/>
        <w:rPr>
          <w:rFonts w:ascii="Palatino Linotype" w:eastAsia="Calibri" w:hAnsi="Palatino Linotype" w:cs="Tahoma"/>
          <w:i/>
          <w:iCs/>
          <w:szCs w:val="24"/>
          <w:lang w:val="es-ES" w:eastAsia="es-ES_tradnl"/>
        </w:rPr>
      </w:pPr>
      <w:r w:rsidRPr="0009123A">
        <w:rPr>
          <w:rFonts w:ascii="Palatino Linotype" w:hAnsi="Palatino Linotype" w:cs="Arial"/>
          <w:i/>
          <w:szCs w:val="24"/>
        </w:rPr>
        <w:t>“</w:t>
      </w:r>
      <w:r w:rsidR="00B26501" w:rsidRPr="00B26501">
        <w:rPr>
          <w:rFonts w:ascii="Palatino Linotype" w:eastAsia="Calibri" w:hAnsi="Palatino Linotype" w:cs="Tahoma"/>
          <w:i/>
          <w:iCs/>
          <w:szCs w:val="24"/>
          <w:lang w:val="es-ES" w:eastAsia="es-ES_tradnl"/>
        </w:rPr>
        <w:t xml:space="preserve">En este sentido, se advierte que al interponer su recurso de revisión, el recurrente no manifiesta inconformidad respecto de los puntos marcados con los numerales 2, 3, 4, 5, 6, 9 y 10 de la solicitud, referentes al manual de organización, el reglamento interno, el tabulador de sueldos, las actas del consejo directivo, el inventario de bienes, el programa </w:t>
      </w:r>
      <w:r w:rsidR="00B26501" w:rsidRPr="00B26501">
        <w:rPr>
          <w:rFonts w:ascii="Palatino Linotype" w:eastAsia="Calibri" w:hAnsi="Palatino Linotype" w:cs="Tahoma"/>
          <w:i/>
          <w:iCs/>
          <w:szCs w:val="24"/>
          <w:lang w:val="es-ES" w:eastAsia="es-ES_tradnl"/>
        </w:rPr>
        <w:lastRenderedPageBreak/>
        <w:t>de obra y el PBR, por tal motivo se entiende que su inconformidad no versa sobre la totalidad de la información proporcionada por el Sujeto Obligado.</w:t>
      </w:r>
    </w:p>
    <w:p w:rsidR="00B26501" w:rsidRPr="00B26501" w:rsidRDefault="00B26501" w:rsidP="00B26501">
      <w:pPr>
        <w:tabs>
          <w:tab w:val="left" w:pos="4962"/>
        </w:tabs>
        <w:spacing w:line="360" w:lineRule="auto"/>
        <w:ind w:left="567" w:right="616"/>
        <w:jc w:val="both"/>
        <w:rPr>
          <w:rFonts w:ascii="Palatino Linotype" w:eastAsia="Calibri" w:hAnsi="Palatino Linotype" w:cs="Tahoma"/>
          <w:i/>
          <w:iCs/>
          <w:szCs w:val="24"/>
          <w:lang w:val="es-ES" w:eastAsia="es-ES_tradnl"/>
        </w:rPr>
      </w:pPr>
      <w:r w:rsidRPr="00B26501">
        <w:rPr>
          <w:rFonts w:ascii="Palatino Linotype" w:eastAsia="Calibri" w:hAnsi="Palatino Linotype" w:cs="Tahoma"/>
          <w:i/>
          <w:iCs/>
          <w:szCs w:val="24"/>
          <w:lang w:val="es-ES" w:eastAsia="es-ES_tradnl"/>
        </w:rPr>
        <w:t xml:space="preserve">Bajo este tenor, la parte de la respuesta que no fue impugnada debe declararse consentida por el Recurrente, toda vez que no realizó manifestaciones de inconformidad al respecto; pues se infiere que  la información proporcionada por el Sujeto Obligado, por lo que se refiere a los requerimientos fueron señalados en el párrafo anterior, satisface la solicitud presentada en primera instancia. </w:t>
      </w:r>
    </w:p>
    <w:p w:rsidR="00B26501" w:rsidRPr="00B26501" w:rsidRDefault="00B26501" w:rsidP="00B26501">
      <w:pPr>
        <w:tabs>
          <w:tab w:val="left" w:pos="4962"/>
        </w:tabs>
        <w:spacing w:line="360" w:lineRule="auto"/>
        <w:ind w:left="567" w:right="616"/>
        <w:jc w:val="both"/>
        <w:rPr>
          <w:rFonts w:ascii="Palatino Linotype" w:eastAsia="Calibri" w:hAnsi="Palatino Linotype" w:cs="Tahoma"/>
          <w:i/>
          <w:iCs/>
          <w:szCs w:val="24"/>
          <w:lang w:val="es-ES" w:eastAsia="es-ES_tradnl"/>
        </w:rPr>
      </w:pPr>
      <w:r w:rsidRPr="00B26501">
        <w:rPr>
          <w:rFonts w:ascii="Palatino Linotype" w:eastAsia="Calibri" w:hAnsi="Palatino Linotype" w:cs="Tahoma"/>
          <w:i/>
          <w:iCs/>
          <w:szCs w:val="24"/>
          <w:lang w:val="es-ES" w:eastAsia="es-ES_tradnl"/>
        </w:rPr>
        <w:t>Lo anterior es así, debido a que cuando el Recurrente impugna la respuesta del Sujeto Obligado,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B26501" w:rsidRPr="00B26501" w:rsidRDefault="00B26501" w:rsidP="00B26501">
      <w:pPr>
        <w:tabs>
          <w:tab w:val="left" w:pos="4962"/>
        </w:tabs>
        <w:spacing w:line="360" w:lineRule="auto"/>
        <w:ind w:left="567" w:right="616"/>
        <w:jc w:val="both"/>
        <w:rPr>
          <w:rFonts w:ascii="Palatino Linotype" w:eastAsia="Calibri" w:hAnsi="Palatino Linotype" w:cs="Tahoma"/>
          <w:i/>
          <w:iCs/>
          <w:szCs w:val="24"/>
          <w:lang w:val="es-ES" w:eastAsia="es-ES_tradnl"/>
        </w:rPr>
      </w:pPr>
      <w:r w:rsidRPr="00B26501">
        <w:rPr>
          <w:rFonts w:ascii="Palatino Linotype" w:eastAsia="Calibri" w:hAnsi="Palatino Linotype" w:cs="Tahoma"/>
          <w:i/>
          <w:iCs/>
          <w:szCs w:val="24"/>
          <w:lang w:val="es-ES" w:eastAsia="es-ES_tradnl"/>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26501" w:rsidRPr="00B26501" w:rsidRDefault="00B26501" w:rsidP="00B26501">
      <w:pPr>
        <w:tabs>
          <w:tab w:val="left" w:pos="4962"/>
        </w:tabs>
        <w:spacing w:line="360" w:lineRule="auto"/>
        <w:ind w:left="567" w:right="616"/>
        <w:jc w:val="both"/>
        <w:rPr>
          <w:rFonts w:ascii="Palatino Linotype" w:eastAsia="Calibri" w:hAnsi="Palatino Linotype" w:cs="Tahoma"/>
          <w:i/>
          <w:iCs/>
          <w:szCs w:val="24"/>
          <w:lang w:val="es-ES" w:eastAsia="es-ES_tradnl"/>
        </w:rPr>
      </w:pPr>
      <w:r w:rsidRPr="00B26501">
        <w:rPr>
          <w:rFonts w:ascii="Palatino Linotype" w:eastAsia="Calibri" w:hAnsi="Palatino Linotype" w:cs="Tahoma"/>
          <w:i/>
          <w:iCs/>
          <w:szCs w:val="24"/>
          <w:lang w:val="es-ES" w:eastAsia="es-ES_tradnl"/>
        </w:rPr>
        <w:lastRenderedPageBreak/>
        <w:t>Consecuentemente, la parte de la solicitud que no se impugnó debe declararse consentida por el Recurrente, en razón de que no se realizaron manifestaciones de inconformidad, por lo que no pueden producirse efectos jurídicos tendentes a revocar, confirmar o modificar el acto reclamado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B26501" w:rsidRPr="00B26501" w:rsidRDefault="00B26501" w:rsidP="00B26501">
      <w:pPr>
        <w:tabs>
          <w:tab w:val="left" w:pos="4962"/>
        </w:tabs>
        <w:spacing w:line="360" w:lineRule="auto"/>
        <w:ind w:left="567" w:right="616"/>
        <w:jc w:val="both"/>
        <w:rPr>
          <w:rFonts w:ascii="Palatino Linotype" w:eastAsia="Calibri" w:hAnsi="Palatino Linotype" w:cs="Tahoma"/>
          <w:i/>
          <w:iCs/>
          <w:szCs w:val="24"/>
          <w:lang w:val="es-ES" w:eastAsia="es-ES_tradnl"/>
        </w:rPr>
      </w:pPr>
      <w:r w:rsidRPr="00B26501">
        <w:rPr>
          <w:rFonts w:ascii="Palatino Linotype" w:eastAsia="Calibri" w:hAnsi="Palatino Linotype" w:cs="Tahoma"/>
          <w:i/>
          <w:iCs/>
          <w:szCs w:val="24"/>
          <w:lang w:val="es-ES" w:eastAsia="es-ES_tradnl"/>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26501" w:rsidRPr="00B26501" w:rsidRDefault="00B26501" w:rsidP="00B26501">
      <w:pPr>
        <w:tabs>
          <w:tab w:val="left" w:pos="4962"/>
        </w:tabs>
        <w:spacing w:line="360" w:lineRule="auto"/>
        <w:ind w:left="567" w:right="616"/>
        <w:jc w:val="both"/>
        <w:rPr>
          <w:rFonts w:ascii="Palatino Linotype" w:eastAsia="Calibri" w:hAnsi="Palatino Linotype" w:cs="Tahoma"/>
          <w:i/>
          <w:iCs/>
          <w:szCs w:val="24"/>
          <w:lang w:val="es-ES" w:eastAsia="es-ES_tradnl"/>
        </w:rPr>
      </w:pPr>
      <w:r w:rsidRPr="00B26501">
        <w:rPr>
          <w:rFonts w:ascii="Palatino Linotype" w:eastAsia="Calibri" w:hAnsi="Palatino Linotype" w:cs="Tahoma"/>
          <w:i/>
          <w:iCs/>
          <w:szCs w:val="24"/>
          <w:lang w:val="es-ES" w:eastAsia="es-ES_tradnl"/>
        </w:rPr>
        <w:t>Así, 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69498B" w:rsidRPr="0009123A" w:rsidRDefault="00B26501" w:rsidP="00B26501">
      <w:pPr>
        <w:tabs>
          <w:tab w:val="left" w:pos="4962"/>
        </w:tabs>
        <w:spacing w:line="360" w:lineRule="auto"/>
        <w:ind w:left="567" w:right="616"/>
        <w:jc w:val="both"/>
        <w:rPr>
          <w:rFonts w:ascii="Palatino Linotype" w:hAnsi="Palatino Linotype" w:cs="Arial"/>
          <w:i/>
          <w:szCs w:val="24"/>
        </w:rPr>
      </w:pPr>
      <w:r w:rsidRPr="00B26501">
        <w:rPr>
          <w:rFonts w:ascii="Palatino Linotype" w:eastAsia="Calibri" w:hAnsi="Palatino Linotype" w:cs="Tahoma"/>
          <w:i/>
          <w:iCs/>
          <w:szCs w:val="24"/>
          <w:lang w:val="es-ES" w:eastAsia="es-ES_tradnl"/>
        </w:rPr>
        <w:t xml:space="preserve">No obstante, de las constancias que obran en el presente expediente, se observa que en el término legal referido, las partes fueron omisas en expresar manifestaciones, ofrecer pruebas, presentar alegatos o rendir informe justificado, por lo que se tiene por </w:t>
      </w:r>
      <w:proofErr w:type="spellStart"/>
      <w:r w:rsidRPr="00B26501">
        <w:rPr>
          <w:rFonts w:ascii="Palatino Linotype" w:eastAsia="Calibri" w:hAnsi="Palatino Linotype" w:cs="Tahoma"/>
          <w:i/>
          <w:iCs/>
          <w:szCs w:val="24"/>
          <w:lang w:val="es-ES" w:eastAsia="es-ES_tradnl"/>
        </w:rPr>
        <w:t>precluido</w:t>
      </w:r>
      <w:proofErr w:type="spellEnd"/>
      <w:r w:rsidRPr="00B26501">
        <w:rPr>
          <w:rFonts w:ascii="Palatino Linotype" w:eastAsia="Calibri" w:hAnsi="Palatino Linotype" w:cs="Tahoma"/>
          <w:i/>
          <w:iCs/>
          <w:szCs w:val="24"/>
          <w:lang w:val="es-ES" w:eastAsia="es-ES_tradnl"/>
        </w:rPr>
        <w:t xml:space="preserve"> su derecho en tal sentido.</w:t>
      </w:r>
      <w:r w:rsidR="0009123A" w:rsidRPr="0009123A">
        <w:rPr>
          <w:rFonts w:ascii="Palatino Linotype" w:hAnsi="Palatino Linotype" w:cs="Arial"/>
          <w:i/>
          <w:szCs w:val="24"/>
        </w:rPr>
        <w:t>”</w:t>
      </w:r>
    </w:p>
    <w:p w:rsidR="008460C4" w:rsidRPr="0009123A" w:rsidRDefault="008460C4" w:rsidP="00E34F08">
      <w:pPr>
        <w:pStyle w:val="Prrafodelista"/>
        <w:numPr>
          <w:ilvl w:val="0"/>
          <w:numId w:val="1"/>
        </w:numPr>
        <w:spacing w:before="240" w:after="240" w:line="360" w:lineRule="auto"/>
        <w:ind w:right="49"/>
        <w:jc w:val="both"/>
        <w:rPr>
          <w:rFonts w:ascii="Palatino Linotype" w:hAnsi="Palatino Linotype" w:cs="Arial"/>
          <w:szCs w:val="24"/>
        </w:rPr>
      </w:pPr>
      <w:r w:rsidRPr="0009123A">
        <w:rPr>
          <w:rFonts w:ascii="Palatino Linotype" w:hAnsi="Palatino Linotype" w:cs="Arial"/>
          <w:szCs w:val="24"/>
        </w:rPr>
        <w:lastRenderedPageBreak/>
        <w:t>He de manifestar que han sido varias las ocasiones en las que formulo votos particulares</w:t>
      </w:r>
      <w:r w:rsidR="00346358" w:rsidRPr="0009123A">
        <w:rPr>
          <w:rFonts w:ascii="Palatino Linotype" w:hAnsi="Palatino Linotype" w:cs="Arial"/>
          <w:szCs w:val="24"/>
        </w:rPr>
        <w:t>,</w:t>
      </w:r>
      <w:r w:rsidRPr="0009123A">
        <w:rPr>
          <w:rFonts w:ascii="Palatino Linotype" w:hAnsi="Palatino Linotype" w:cs="Arial"/>
          <w:szCs w:val="24"/>
        </w:rPr>
        <w:t xml:space="preserve"> porque en el estudio de los proyectos de resolución mencionan los llamados </w:t>
      </w:r>
      <w:r w:rsidRPr="0009123A">
        <w:rPr>
          <w:rFonts w:ascii="Palatino Linotype" w:hAnsi="Palatino Linotype" w:cs="Arial"/>
          <w:b/>
          <w:i/>
          <w:szCs w:val="24"/>
        </w:rPr>
        <w:t xml:space="preserve">“actos consentidos”, </w:t>
      </w:r>
      <w:r w:rsidRPr="0009123A">
        <w:rPr>
          <w:rFonts w:ascii="Palatino Linotype" w:hAnsi="Palatino Linotype" w:cs="Arial"/>
          <w:szCs w:val="24"/>
        </w:rPr>
        <w:t>sin embargo, en este caso en particular, difiero con mayor fuerza toda vez que lo que el Comisionado Ponente y mis demás compañeros Comisionados que integran el Pleno de este Órgano Garante</w:t>
      </w:r>
      <w:r w:rsidR="00346358" w:rsidRPr="0009123A">
        <w:rPr>
          <w:rFonts w:ascii="Palatino Linotype" w:hAnsi="Palatino Linotype" w:cs="Arial"/>
          <w:szCs w:val="24"/>
        </w:rPr>
        <w:t>, consintieron</w:t>
      </w:r>
      <w:r w:rsidRPr="0009123A">
        <w:rPr>
          <w:rFonts w:ascii="Palatino Linotype" w:hAnsi="Palatino Linotype" w:cs="Arial"/>
          <w:szCs w:val="24"/>
        </w:rPr>
        <w:t xml:space="preserve"> el cambio de modalidad para la entrega de las versiones estenográficas de las sesiones de cabildo del Sujeto Obligado del periodo comprendido del año 2017 y 2018</w:t>
      </w:r>
      <w:r w:rsidR="00937AD9" w:rsidRPr="0009123A">
        <w:rPr>
          <w:rFonts w:ascii="Palatino Linotype" w:hAnsi="Palatino Linotype" w:cs="Arial"/>
          <w:szCs w:val="24"/>
        </w:rPr>
        <w:t>, sin estudiar, analizar o bien, justificar el cambio de modalidad, situación que pudiera causar un perjuicio al particular en razón de que a falta de justificación, se traduce que se le restringió el acceso a ésta información por la vía solicitada porque no se inconformó por ello.</w:t>
      </w:r>
    </w:p>
    <w:p w:rsidR="00BF2070" w:rsidRPr="0009123A" w:rsidRDefault="00BF2070" w:rsidP="00BF2070">
      <w:pPr>
        <w:pStyle w:val="Prrafodelista"/>
        <w:spacing w:before="240" w:after="240" w:line="360" w:lineRule="auto"/>
        <w:ind w:left="360" w:right="49"/>
        <w:jc w:val="both"/>
        <w:rPr>
          <w:rFonts w:ascii="Palatino Linotype" w:hAnsi="Palatino Linotype" w:cs="Arial"/>
          <w:szCs w:val="24"/>
        </w:rPr>
      </w:pPr>
    </w:p>
    <w:p w:rsidR="0046491C" w:rsidRPr="0009123A" w:rsidRDefault="0046491C" w:rsidP="00E34F08">
      <w:pPr>
        <w:pStyle w:val="Prrafodelista"/>
        <w:numPr>
          <w:ilvl w:val="0"/>
          <w:numId w:val="1"/>
        </w:numPr>
        <w:spacing w:before="240" w:after="240" w:line="360" w:lineRule="auto"/>
        <w:ind w:right="49"/>
        <w:jc w:val="both"/>
        <w:rPr>
          <w:rFonts w:ascii="Palatino Linotype" w:hAnsi="Palatino Linotype" w:cs="Arial"/>
          <w:szCs w:val="24"/>
        </w:rPr>
      </w:pPr>
      <w:r w:rsidRPr="0009123A">
        <w:rPr>
          <w:rFonts w:ascii="Palatino Linotype" w:hAnsi="Palatino Linotype" w:cs="Arial"/>
          <w:szCs w:val="24"/>
        </w:rPr>
        <w:t>Derivado de lo transcrito con anterioridad, considero que la</w:t>
      </w:r>
      <w:r w:rsidR="00260D6C" w:rsidRPr="0009123A">
        <w:rPr>
          <w:rFonts w:ascii="Palatino Linotype" w:hAnsi="Palatino Linotype" w:cs="Arial"/>
          <w:szCs w:val="24"/>
        </w:rPr>
        <w:t xml:space="preserve"> incorporación de dicho argumento</w:t>
      </w:r>
      <w:r w:rsidRPr="0009123A">
        <w:rPr>
          <w:rFonts w:ascii="Palatino Linotype" w:hAnsi="Palatino Linotype" w:cs="Arial"/>
          <w:szCs w:val="24"/>
        </w:rPr>
        <w:t xml:space="preserve"> en la resolución en comento resulta a todas luces innecesari</w:t>
      </w:r>
      <w:r w:rsidR="00E61AB8" w:rsidRPr="0009123A">
        <w:rPr>
          <w:rFonts w:ascii="Palatino Linotype" w:hAnsi="Palatino Linotype" w:cs="Arial"/>
          <w:szCs w:val="24"/>
        </w:rPr>
        <w:t xml:space="preserve">o y además no da </w:t>
      </w:r>
      <w:r w:rsidRPr="0009123A">
        <w:rPr>
          <w:rFonts w:ascii="Palatino Linotype" w:hAnsi="Palatino Linotype" w:cs="Arial"/>
          <w:szCs w:val="24"/>
        </w:rPr>
        <w:t>lugar a invocarlos en el derecho humano fundamental de acceder a la información pública gubernamental.</w:t>
      </w:r>
      <w:r w:rsidRPr="0009123A">
        <w:rPr>
          <w:rFonts w:ascii="Palatino Linotype" w:eastAsia="Calibri" w:hAnsi="Palatino Linotype" w:cs="Times New Roman"/>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09123A">
        <w:rPr>
          <w:rFonts w:ascii="Palatino Linotype" w:eastAsia="Calibri" w:hAnsi="Palatino Linotype" w:cs="Times New Roman"/>
          <w:b/>
          <w:szCs w:val="24"/>
          <w:lang w:val="es-ES" w:eastAsia="es-ES"/>
        </w:rPr>
        <w:t>SUJETO OBLIGADO</w:t>
      </w:r>
      <w:r w:rsidRPr="0009123A">
        <w:rPr>
          <w:rFonts w:ascii="Palatino Linotype" w:eastAsia="Calibri" w:hAnsi="Palatino Linotype" w:cs="Times New Roman"/>
          <w:szCs w:val="24"/>
          <w:lang w:val="es-ES" w:eastAsia="es-ES"/>
        </w:rPr>
        <w:t xml:space="preserve"> ha dado respuesta a la solicitud de información</w:t>
      </w:r>
      <w:r w:rsidR="00260D6C" w:rsidRPr="0009123A">
        <w:rPr>
          <w:rFonts w:ascii="Palatino Linotype" w:eastAsia="Calibri" w:hAnsi="Palatino Linotype" w:cs="Times New Roman"/>
          <w:szCs w:val="24"/>
          <w:lang w:val="es-ES" w:eastAsia="es-ES"/>
        </w:rPr>
        <w:t xml:space="preserve"> en lo particular</w:t>
      </w:r>
      <w:r w:rsidRPr="0009123A">
        <w:rPr>
          <w:rFonts w:ascii="Palatino Linotype" w:eastAsia="Calibri" w:hAnsi="Palatino Linotype" w:cs="Times New Roman"/>
          <w:szCs w:val="24"/>
          <w:lang w:val="es-ES" w:eastAsia="es-ES"/>
        </w:rPr>
        <w:t>, t</w:t>
      </w:r>
      <w:r w:rsidR="00260D6C" w:rsidRPr="0009123A">
        <w:rPr>
          <w:rFonts w:ascii="Palatino Linotype" w:eastAsia="Calibri" w:hAnsi="Palatino Linotype" w:cs="Times New Roman"/>
          <w:szCs w:val="24"/>
          <w:lang w:val="es-ES" w:eastAsia="es-ES"/>
        </w:rPr>
        <w:t xml:space="preserve">an es así que al analizar la respuesta emitida se concluyó que colmó con </w:t>
      </w:r>
      <w:r w:rsidRPr="0009123A">
        <w:rPr>
          <w:rFonts w:ascii="Palatino Linotype" w:eastAsia="Calibri" w:hAnsi="Palatino Linotype" w:cs="Times New Roman"/>
          <w:szCs w:val="24"/>
          <w:lang w:val="es-ES" w:eastAsia="es-ES"/>
        </w:rPr>
        <w:t xml:space="preserve">el derecho de acceso a la información, </w:t>
      </w:r>
      <w:r w:rsidR="00260D6C" w:rsidRPr="0009123A">
        <w:rPr>
          <w:rFonts w:ascii="Palatino Linotype" w:eastAsia="Calibri" w:hAnsi="Palatino Linotype" w:cs="Times New Roman"/>
          <w:szCs w:val="24"/>
          <w:lang w:val="es-ES" w:eastAsia="es-ES"/>
        </w:rPr>
        <w:t xml:space="preserve">lo que en mi parecer </w:t>
      </w:r>
      <w:r w:rsidRPr="0009123A">
        <w:rPr>
          <w:rFonts w:ascii="Palatino Linotype" w:eastAsia="Calibri" w:hAnsi="Palatino Linotype" w:cs="Times New Roman"/>
          <w:szCs w:val="24"/>
          <w:lang w:val="es-ES" w:eastAsia="es-ES"/>
        </w:rPr>
        <w:t>considero, es innecesario señalar</w:t>
      </w:r>
      <w:r w:rsidR="00194B6A" w:rsidRPr="0009123A">
        <w:rPr>
          <w:rFonts w:ascii="Palatino Linotype" w:eastAsia="Calibri" w:hAnsi="Palatino Linotype" w:cs="Times New Roman"/>
          <w:szCs w:val="24"/>
          <w:lang w:val="es-ES" w:eastAsia="es-ES"/>
        </w:rPr>
        <w:t xml:space="preserve"> la figura de actos consentidos, éste instituto como órgano garante, es su deber velar por el cabal cumplimiento al derecho humano del acceso a la información, mas no limita</w:t>
      </w:r>
      <w:r w:rsidR="0001046D" w:rsidRPr="0009123A">
        <w:rPr>
          <w:rFonts w:ascii="Palatino Linotype" w:eastAsia="Calibri" w:hAnsi="Palatino Linotype" w:cs="Times New Roman"/>
          <w:szCs w:val="24"/>
          <w:lang w:val="es-ES" w:eastAsia="es-ES"/>
        </w:rPr>
        <w:t>rlo invocando el multicitado argumento de</w:t>
      </w:r>
      <w:r w:rsidR="00194B6A" w:rsidRPr="0009123A">
        <w:rPr>
          <w:rFonts w:ascii="Palatino Linotype" w:eastAsia="Calibri" w:hAnsi="Palatino Linotype" w:cs="Times New Roman"/>
          <w:szCs w:val="24"/>
          <w:lang w:val="es-ES" w:eastAsia="es-ES"/>
        </w:rPr>
        <w:t xml:space="preserve"> actos consentidos.</w:t>
      </w: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2" w:name="_Toc534976973"/>
      <w:r w:rsidRPr="0009123A">
        <w:rPr>
          <w:rFonts w:ascii="Palatino Linotype" w:hAnsi="Palatino Linotype"/>
          <w:b/>
          <w:color w:val="auto"/>
          <w:sz w:val="24"/>
          <w:szCs w:val="24"/>
        </w:rPr>
        <w:lastRenderedPageBreak/>
        <w:t>Los actos consentidos no deben invocarse en el derecho fundamental de acceder a la información pública gubernamental.</w:t>
      </w:r>
      <w:bookmarkEnd w:id="2"/>
    </w:p>
    <w:p w:rsidR="00FC5012" w:rsidRPr="0009123A" w:rsidRDefault="00FC5012" w:rsidP="00FC5012">
      <w:pPr>
        <w:rPr>
          <w:rFonts w:ascii="Palatino Linotype" w:hAnsi="Palatino Linotype"/>
          <w:sz w:val="24"/>
          <w:szCs w:val="24"/>
        </w:rPr>
      </w:pPr>
    </w:p>
    <w:p w:rsidR="0046491C" w:rsidRPr="00B26501" w:rsidRDefault="0046491C" w:rsidP="00E34F08">
      <w:pPr>
        <w:pStyle w:val="Prrafodelista"/>
        <w:numPr>
          <w:ilvl w:val="0"/>
          <w:numId w:val="1"/>
        </w:numPr>
        <w:spacing w:after="0" w:line="360" w:lineRule="auto"/>
        <w:ind w:left="426"/>
        <w:jc w:val="both"/>
        <w:rPr>
          <w:rFonts w:ascii="Palatino Linotype" w:hAnsi="Palatino Linotype" w:cs="Arial"/>
          <w:szCs w:val="24"/>
        </w:rPr>
      </w:pPr>
      <w:r w:rsidRPr="00B26501">
        <w:rPr>
          <w:rFonts w:ascii="Palatino Linotype" w:hAnsi="Palatino Linotype" w:cs="Arial"/>
          <w:szCs w:val="24"/>
        </w:rPr>
        <w:t xml:space="preserve">En la resolución se precisa, un criterio </w:t>
      </w:r>
      <w:r w:rsidR="00260D6C" w:rsidRPr="00B26501">
        <w:rPr>
          <w:rFonts w:ascii="Palatino Linotype" w:hAnsi="Palatino Linotype" w:cs="Arial"/>
          <w:szCs w:val="24"/>
        </w:rPr>
        <w:t>denominado</w:t>
      </w:r>
      <w:r w:rsidRPr="00B26501">
        <w:rPr>
          <w:rFonts w:ascii="Palatino Linotype" w:hAnsi="Palatino Linotype" w:cs="Arial"/>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B26501">
        <w:rPr>
          <w:rFonts w:ascii="Palatino Linotype" w:hAnsi="Palatino Linotype" w:cs="Arial"/>
          <w:b/>
          <w:szCs w:val="24"/>
        </w:rPr>
        <w:t>acudir a un profesionista del derecho</w:t>
      </w:r>
      <w:r w:rsidRPr="00B26501">
        <w:rPr>
          <w:rFonts w:ascii="Palatino Linotype" w:hAnsi="Palatino Linotype" w:cs="Arial"/>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B26501" w:rsidRDefault="0046491C" w:rsidP="00E34F08">
      <w:pPr>
        <w:pStyle w:val="Prrafodelista"/>
        <w:spacing w:after="0" w:line="360" w:lineRule="auto"/>
        <w:ind w:left="426"/>
        <w:jc w:val="both"/>
        <w:rPr>
          <w:rFonts w:ascii="Palatino Linotype" w:hAnsi="Palatino Linotype" w:cs="Arial"/>
          <w:szCs w:val="24"/>
        </w:rPr>
      </w:pPr>
    </w:p>
    <w:p w:rsidR="0046491C" w:rsidRPr="00B26501" w:rsidRDefault="0046491C" w:rsidP="00E34F08">
      <w:pPr>
        <w:pStyle w:val="Prrafodelista"/>
        <w:numPr>
          <w:ilvl w:val="0"/>
          <w:numId w:val="1"/>
        </w:numPr>
        <w:spacing w:after="0" w:line="360" w:lineRule="auto"/>
        <w:ind w:left="426"/>
        <w:jc w:val="both"/>
        <w:rPr>
          <w:rFonts w:ascii="Palatino Linotype" w:hAnsi="Palatino Linotype" w:cs="Arial"/>
          <w:szCs w:val="24"/>
        </w:rPr>
      </w:pPr>
      <w:r w:rsidRPr="00B26501">
        <w:rPr>
          <w:rFonts w:ascii="Palatino Linotype" w:hAnsi="Palatino Linotype" w:cs="Arial"/>
          <w:szCs w:val="24"/>
        </w:rPr>
        <w:t xml:space="preserve">La figura de la suplencia de la queja, para Héctor </w:t>
      </w:r>
      <w:proofErr w:type="spellStart"/>
      <w:r w:rsidRPr="00B26501">
        <w:rPr>
          <w:rFonts w:ascii="Palatino Linotype" w:hAnsi="Palatino Linotype" w:cs="Arial"/>
          <w:szCs w:val="24"/>
        </w:rPr>
        <w:t>Fix</w:t>
      </w:r>
      <w:proofErr w:type="spellEnd"/>
      <w:r w:rsidRPr="00B26501">
        <w:rPr>
          <w:rFonts w:ascii="Palatino Linotype" w:hAnsi="Palatino Linotype" w:cs="Arial"/>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w:t>
      </w:r>
      <w:r w:rsidRPr="00B26501">
        <w:rPr>
          <w:rFonts w:ascii="Palatino Linotype" w:hAnsi="Palatino Linotype" w:cs="Arial"/>
          <w:szCs w:val="24"/>
        </w:rPr>
        <w:lastRenderedPageBreak/>
        <w:t>en el proceso social agrario, a los diversos actos procesales de la parte débil incluyendo el ofrecimiento y desahogo de los medios de prueba”.</w:t>
      </w:r>
      <w:r w:rsidRPr="00B26501">
        <w:rPr>
          <w:rStyle w:val="Refdenotaalpie"/>
          <w:rFonts w:ascii="Palatino Linotype" w:hAnsi="Palatino Linotype" w:cs="Arial"/>
          <w:szCs w:val="24"/>
        </w:rPr>
        <w:footnoteReference w:id="1"/>
      </w:r>
      <w:r w:rsidRPr="00B26501">
        <w:rPr>
          <w:rFonts w:ascii="Palatino Linotype" w:hAnsi="Palatino Linotype" w:cs="Arial"/>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B26501">
        <w:rPr>
          <w:rStyle w:val="Refdenotaalpie"/>
          <w:rFonts w:ascii="Palatino Linotype" w:hAnsi="Palatino Linotype" w:cs="Arial"/>
          <w:szCs w:val="24"/>
        </w:rPr>
        <w:footnoteReference w:id="2"/>
      </w:r>
      <w:r w:rsidRPr="00B26501">
        <w:rPr>
          <w:rFonts w:ascii="Palatino Linotype" w:hAnsi="Palatino Linotype" w:cs="Arial"/>
          <w:szCs w:val="24"/>
        </w:rPr>
        <w:t xml:space="preserve"> </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9123A" w:rsidRDefault="0046491C" w:rsidP="00E34F08">
      <w:pPr>
        <w:spacing w:after="0" w:line="360" w:lineRule="auto"/>
        <w:jc w:val="both"/>
        <w:rPr>
          <w:rFonts w:ascii="Palatino Linotype" w:hAnsi="Palatino Linotype" w:cs="Arial"/>
          <w:sz w:val="24"/>
          <w:szCs w:val="24"/>
        </w:rPr>
      </w:pPr>
    </w:p>
    <w:p w:rsidR="0046491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9123A">
        <w:rPr>
          <w:rFonts w:ascii="Palatino Linotype" w:hAnsi="Palatino Linotype" w:cs="Arial"/>
          <w:b/>
          <w:sz w:val="24"/>
          <w:szCs w:val="24"/>
        </w:rPr>
        <w:t>garantía de los derechos humanos</w:t>
      </w:r>
      <w:r w:rsidRPr="0009123A">
        <w:rPr>
          <w:rFonts w:ascii="Palatino Linotype" w:hAnsi="Palatino Linotype" w:cs="Arial"/>
          <w:sz w:val="24"/>
          <w:szCs w:val="24"/>
        </w:rPr>
        <w:t xml:space="preserve">, de tal forma que cualquier esfuerzo que se haga en el sentido de cumplir con dicho mandato no </w:t>
      </w:r>
      <w:r w:rsidRPr="0009123A">
        <w:rPr>
          <w:rFonts w:ascii="Palatino Linotype" w:hAnsi="Palatino Linotype" w:cs="Arial"/>
          <w:sz w:val="24"/>
          <w:szCs w:val="24"/>
        </w:rPr>
        <w:lastRenderedPageBreak/>
        <w:t>resulta ocioso ni sobra sino demuestra el grado de compromiso de la autoridad con este aspecto toral de la reforma constitucional del 10 de junio de 2011.</w:t>
      </w:r>
    </w:p>
    <w:p w:rsidR="00B26501" w:rsidRPr="00B26501" w:rsidRDefault="00B26501" w:rsidP="00B26501">
      <w:pPr>
        <w:pStyle w:val="Prrafodelista"/>
        <w:rPr>
          <w:rFonts w:ascii="Palatino Linotype" w:hAnsi="Palatino Linotype" w:cs="Arial"/>
          <w:sz w:val="24"/>
          <w:szCs w:val="24"/>
        </w:rPr>
      </w:pPr>
    </w:p>
    <w:p w:rsidR="0046491C" w:rsidRDefault="0046491C" w:rsidP="00E34F08">
      <w:pPr>
        <w:pStyle w:val="Prrafodelista"/>
        <w:numPr>
          <w:ilvl w:val="0"/>
          <w:numId w:val="1"/>
        </w:numPr>
        <w:spacing w:after="0" w:line="360" w:lineRule="auto"/>
        <w:ind w:left="426"/>
        <w:jc w:val="both"/>
        <w:rPr>
          <w:rFonts w:ascii="Palatino Linotype" w:hAnsi="Palatino Linotype" w:cs="Arial"/>
          <w:szCs w:val="24"/>
        </w:rPr>
      </w:pPr>
      <w:r w:rsidRPr="00B26501">
        <w:rPr>
          <w:rFonts w:ascii="Palatino Linotype" w:hAnsi="Palatino Linotype" w:cs="Arial"/>
          <w:szCs w:val="24"/>
        </w:rPr>
        <w:t>En este sentido el Dr. Miguel Carbonell ha señalado que:</w:t>
      </w:r>
    </w:p>
    <w:p w:rsidR="00B26501" w:rsidRPr="00B26501" w:rsidRDefault="00B26501" w:rsidP="00B26501">
      <w:pPr>
        <w:pStyle w:val="Prrafodelista"/>
        <w:rPr>
          <w:rFonts w:ascii="Palatino Linotype" w:hAnsi="Palatino Linotype" w:cs="Arial"/>
          <w:szCs w:val="24"/>
        </w:rPr>
      </w:pPr>
    </w:p>
    <w:p w:rsidR="0046491C" w:rsidRPr="00B26501" w:rsidRDefault="0046491C" w:rsidP="00E34F08">
      <w:pPr>
        <w:pStyle w:val="Prrafodelista"/>
        <w:spacing w:after="0" w:line="360" w:lineRule="auto"/>
        <w:ind w:left="426"/>
        <w:jc w:val="both"/>
        <w:rPr>
          <w:rFonts w:ascii="Palatino Linotype" w:hAnsi="Palatino Linotype" w:cs="Arial"/>
          <w:szCs w:val="24"/>
        </w:rPr>
      </w:pPr>
      <w:r w:rsidRPr="00B26501">
        <w:rPr>
          <w:rFonts w:ascii="Palatino Linotype" w:hAnsi="Palatino Linotype" w:cs="Arial"/>
          <w:szCs w:val="24"/>
        </w:rPr>
        <w:t xml:space="preserve">“Queda claro, en consecuencia, que las obligaciones de promoción, respeto, protección y garantía de los derechos corren a cargo de todos los poderes, incluso </w:t>
      </w:r>
      <w:r w:rsidRPr="00B26501">
        <w:rPr>
          <w:rFonts w:ascii="Palatino Linotype" w:hAnsi="Palatino Linotype" w:cs="Arial"/>
          <w:b/>
          <w:szCs w:val="24"/>
        </w:rPr>
        <w:t>considerando que algún nivel de gobierno tenga obligaciones reforzadas hacia ciertos derechos.</w:t>
      </w:r>
      <w:r w:rsidRPr="00B26501">
        <w:rPr>
          <w:rFonts w:ascii="Palatino Linotype" w:hAnsi="Palatino Linotype" w:cs="Arial"/>
          <w:szCs w:val="24"/>
        </w:rPr>
        <w:t xml:space="preserve"> A partir de tales deberes generales, podemos afirmar que las autoridades de todos los niveles de gobierno también tienen la obligación positiva de </w:t>
      </w:r>
      <w:r w:rsidRPr="00B26501">
        <w:rPr>
          <w:rFonts w:ascii="Palatino Linotype" w:hAnsi="Palatino Linotype" w:cs="Arial"/>
          <w:b/>
          <w:szCs w:val="24"/>
        </w:rPr>
        <w:t>tomar todas las medidas que sean pertinentes para tutelar y hacer eficaz un derecho</w:t>
      </w:r>
      <w:r w:rsidRPr="00B26501">
        <w:rPr>
          <w:rFonts w:ascii="Palatino Linotype" w:hAnsi="Palatino Linotype" w:cs="Arial"/>
          <w:szCs w:val="24"/>
        </w:rPr>
        <w:t>”.</w:t>
      </w:r>
      <w:r w:rsidRPr="00B26501">
        <w:rPr>
          <w:rStyle w:val="Refdenotaalpie"/>
          <w:rFonts w:ascii="Palatino Linotype" w:hAnsi="Palatino Linotype" w:cs="Arial"/>
          <w:szCs w:val="24"/>
        </w:rPr>
        <w:footnoteReference w:id="3"/>
      </w:r>
    </w:p>
    <w:p w:rsidR="0046491C" w:rsidRPr="00B26501" w:rsidRDefault="0046491C" w:rsidP="00E34F08">
      <w:pPr>
        <w:pStyle w:val="Prrafodelista"/>
        <w:spacing w:after="0" w:line="360" w:lineRule="auto"/>
        <w:ind w:left="426"/>
        <w:jc w:val="both"/>
        <w:rPr>
          <w:rFonts w:ascii="Palatino Linotype" w:hAnsi="Palatino Linotype" w:cs="Arial"/>
          <w:szCs w:val="24"/>
        </w:rPr>
      </w:pPr>
    </w:p>
    <w:p w:rsidR="0046491C" w:rsidRPr="00B26501" w:rsidRDefault="0046491C" w:rsidP="00E34F08">
      <w:pPr>
        <w:pStyle w:val="Prrafodelista"/>
        <w:numPr>
          <w:ilvl w:val="0"/>
          <w:numId w:val="1"/>
        </w:numPr>
        <w:spacing w:after="0" w:line="360" w:lineRule="auto"/>
        <w:jc w:val="both"/>
        <w:rPr>
          <w:rFonts w:ascii="Palatino Linotype" w:hAnsi="Palatino Linotype" w:cs="Arial"/>
          <w:szCs w:val="24"/>
        </w:rPr>
      </w:pPr>
      <w:r w:rsidRPr="00B26501">
        <w:rPr>
          <w:rFonts w:ascii="Palatino Linotype" w:hAnsi="Palatino Linotype" w:cs="Arial"/>
          <w:szCs w:val="24"/>
        </w:rPr>
        <w:t xml:space="preserve"> Por lo que restringir el derecho de acceso a la información pública del particular</w:t>
      </w:r>
      <w:r w:rsidRPr="00B26501">
        <w:rPr>
          <w:rFonts w:ascii="Palatino Linotype" w:hAnsi="Palatino Linotype" w:cs="Arial"/>
          <w:b/>
          <w:szCs w:val="24"/>
        </w:rPr>
        <w:t xml:space="preserve"> </w:t>
      </w:r>
      <w:r w:rsidRPr="00B26501">
        <w:rPr>
          <w:rFonts w:ascii="Palatino Linotype" w:hAnsi="Palatino Linotype" w:cs="Arial"/>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B26501" w:rsidRDefault="0046491C" w:rsidP="00E34F08">
      <w:pPr>
        <w:pStyle w:val="Prrafodelista"/>
        <w:spacing w:after="0" w:line="360" w:lineRule="auto"/>
        <w:jc w:val="both"/>
        <w:rPr>
          <w:rFonts w:ascii="Palatino Linotype" w:hAnsi="Palatino Linotype" w:cs="Arial"/>
          <w:szCs w:val="24"/>
        </w:rPr>
      </w:pPr>
    </w:p>
    <w:p w:rsidR="0046491C" w:rsidRPr="00B26501" w:rsidRDefault="0046491C" w:rsidP="00E34F08">
      <w:pPr>
        <w:pStyle w:val="Prrafodelista"/>
        <w:numPr>
          <w:ilvl w:val="0"/>
          <w:numId w:val="1"/>
        </w:numPr>
        <w:spacing w:after="0" w:line="360" w:lineRule="auto"/>
        <w:jc w:val="both"/>
        <w:rPr>
          <w:rFonts w:ascii="Palatino Linotype" w:hAnsi="Palatino Linotype" w:cs="Arial"/>
          <w:szCs w:val="24"/>
        </w:rPr>
      </w:pPr>
      <w:r w:rsidRPr="00B26501">
        <w:rPr>
          <w:rFonts w:ascii="Palatino Linotype" w:hAnsi="Palatino Linotype" w:cs="Arial"/>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w:t>
      </w:r>
      <w:r w:rsidRPr="00B26501">
        <w:rPr>
          <w:rFonts w:ascii="Palatino Linotype" w:hAnsi="Palatino Linotype" w:cs="Arial"/>
          <w:szCs w:val="24"/>
        </w:rPr>
        <w:lastRenderedPageBreak/>
        <w:t>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9123A">
        <w:rPr>
          <w:rFonts w:ascii="Palatino Linotype" w:hAnsi="Palatino Linotype" w:cs="Arial"/>
          <w:sz w:val="24"/>
          <w:szCs w:val="24"/>
        </w:rPr>
        <w:t>Cotta</w:t>
      </w:r>
      <w:proofErr w:type="spellEnd"/>
      <w:r w:rsidRPr="0009123A">
        <w:rPr>
          <w:rFonts w:ascii="Palatino Linotype" w:hAnsi="Palatino Linotype" w:cs="Arial"/>
          <w:sz w:val="24"/>
          <w:szCs w:val="24"/>
        </w:rPr>
        <w:t xml:space="preserve"> que “la obligatoriedad de la norma depende de la validez de su justificación, que es, por consiguiente el fundamento de aquella”,</w:t>
      </w:r>
      <w:r w:rsidRPr="0009123A">
        <w:rPr>
          <w:rStyle w:val="Refdenotaalpie"/>
          <w:rFonts w:ascii="Palatino Linotype" w:hAnsi="Palatino Linotype" w:cs="Arial"/>
          <w:sz w:val="24"/>
          <w:szCs w:val="24"/>
        </w:rPr>
        <w:footnoteReference w:id="4"/>
      </w:r>
      <w:r w:rsidRPr="0009123A">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B26501" w:rsidRDefault="0046491C" w:rsidP="00E34F08">
      <w:pPr>
        <w:pStyle w:val="Prrafodelista"/>
        <w:numPr>
          <w:ilvl w:val="0"/>
          <w:numId w:val="1"/>
        </w:numPr>
        <w:spacing w:after="0" w:line="360" w:lineRule="auto"/>
        <w:ind w:left="426"/>
        <w:jc w:val="both"/>
        <w:rPr>
          <w:rFonts w:ascii="Palatino Linotype" w:hAnsi="Palatino Linotype" w:cs="Arial"/>
        </w:rPr>
      </w:pPr>
      <w:r w:rsidRPr="0009123A">
        <w:rPr>
          <w:rFonts w:ascii="Palatino Linotype" w:hAnsi="Palatino Linotype" w:cs="Arial"/>
          <w:sz w:val="24"/>
          <w:szCs w:val="24"/>
        </w:rPr>
        <w:t xml:space="preserve"> </w:t>
      </w:r>
      <w:r w:rsidRPr="00B26501">
        <w:rPr>
          <w:rFonts w:ascii="Palatino Linotype" w:hAnsi="Palatino Linotype" w:cs="Arial"/>
        </w:rPr>
        <w:t xml:space="preserve">Mucho menos si consideramos el siguiente criterio: DERECHOS HUMANOS. OBLIGACIÓN DE PROTEGERLOS EN TÉRMINOS DEL ARTÍCULO 1o., PÁRRAFO TERCERO, DE LA CONSTITUCIÓN POLÍTICA DE LOS ESTADOS UNIDOS </w:t>
      </w:r>
      <w:r w:rsidRPr="00B26501">
        <w:rPr>
          <w:rFonts w:ascii="Palatino Linotype" w:hAnsi="Palatino Linotype" w:cs="Arial"/>
        </w:rPr>
        <w:lastRenderedPageBreak/>
        <w:t xml:space="preserve">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B26501">
        <w:rPr>
          <w:rFonts w:ascii="Palatino Linotype" w:hAnsi="Palatino Linotype" w:cs="Arial"/>
          <w:b/>
        </w:rPr>
        <w:t>el deber que tienen los órganos del Estado, dentro del margen de sus atribuciones, de prevenir violaciones a los derechos fundamentales,</w:t>
      </w:r>
      <w:r w:rsidRPr="00B26501">
        <w:rPr>
          <w:rFonts w:ascii="Palatino Linotype" w:hAnsi="Palatino Linotype" w:cs="Arial"/>
        </w:rPr>
        <w:t xml:space="preserve"> ya sea que provengan de una autoridad o de algún particular y, por ello, </w:t>
      </w:r>
      <w:r w:rsidRPr="00B26501">
        <w:rPr>
          <w:rFonts w:ascii="Palatino Linotype" w:hAnsi="Palatino Linotype" w:cs="Arial"/>
          <w:b/>
        </w:rPr>
        <w:t>debe contarse</w:t>
      </w:r>
      <w:r w:rsidRPr="00B26501">
        <w:rPr>
          <w:rFonts w:ascii="Palatino Linotype" w:hAnsi="Palatino Linotype" w:cs="Arial"/>
        </w:rPr>
        <w:t xml:space="preserve"> tanto </w:t>
      </w:r>
      <w:r w:rsidRPr="00B26501">
        <w:rPr>
          <w:rFonts w:ascii="Palatino Linotype" w:hAnsi="Palatino Linotype" w:cs="Arial"/>
          <w:b/>
        </w:rPr>
        <w:t>con mecanismos</w:t>
      </w:r>
      <w:r w:rsidRPr="00B26501">
        <w:rPr>
          <w:rFonts w:ascii="Palatino Linotype" w:hAnsi="Palatino Linotype" w:cs="Arial"/>
        </w:rPr>
        <w:t xml:space="preserve"> de vigilancia como </w:t>
      </w:r>
      <w:r w:rsidRPr="00B26501">
        <w:rPr>
          <w:rFonts w:ascii="Palatino Linotype" w:hAnsi="Palatino Linotype" w:cs="Arial"/>
          <w:b/>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B26501">
        <w:rPr>
          <w:rFonts w:ascii="Palatino Linotype" w:hAnsi="Palatino Linotype" w:cs="Arial"/>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B26501" w:rsidRDefault="0046491C" w:rsidP="00E34F08">
      <w:pPr>
        <w:pStyle w:val="Prrafodelista"/>
        <w:spacing w:after="0" w:line="360" w:lineRule="auto"/>
        <w:ind w:left="426"/>
        <w:jc w:val="both"/>
        <w:rPr>
          <w:rFonts w:ascii="Palatino Linotype" w:hAnsi="Palatino Linotype" w:cs="Arial"/>
        </w:rPr>
      </w:pPr>
    </w:p>
    <w:p w:rsidR="0046491C" w:rsidRPr="00B26501" w:rsidRDefault="0046491C" w:rsidP="00E34F08">
      <w:pPr>
        <w:pStyle w:val="Prrafodelista"/>
        <w:numPr>
          <w:ilvl w:val="0"/>
          <w:numId w:val="1"/>
        </w:numPr>
        <w:spacing w:after="0" w:line="360" w:lineRule="auto"/>
        <w:jc w:val="both"/>
        <w:rPr>
          <w:rFonts w:ascii="Palatino Linotype" w:hAnsi="Palatino Linotype" w:cs="Arial"/>
        </w:rPr>
      </w:pPr>
      <w:r w:rsidRPr="00B26501">
        <w:rPr>
          <w:rFonts w:ascii="Palatino Linotype" w:hAnsi="Palatino Linotype" w:cs="Arial"/>
        </w:rPr>
        <w:lastRenderedPageBreak/>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B26501">
        <w:rPr>
          <w:rFonts w:ascii="Palatino Linotype" w:hAnsi="Palatino Linotype" w:cs="Arial"/>
          <w:b/>
        </w:rPr>
        <w:t>SUJETOS OBLIGADOS</w:t>
      </w:r>
      <w:r w:rsidRPr="00B26501">
        <w:rPr>
          <w:rFonts w:ascii="Palatino Linotype" w:hAnsi="Palatino Linotype" w:cs="Arial"/>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09123A" w:rsidRDefault="00DF6F7E" w:rsidP="00E34F08">
      <w:pPr>
        <w:pStyle w:val="Prrafodelista"/>
        <w:spacing w:line="360" w:lineRule="auto"/>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284"/>
        <w:jc w:val="both"/>
        <w:rPr>
          <w:rFonts w:ascii="Palatino Linotype" w:hAnsi="Palatino Linotype" w:cs="Arial"/>
          <w:sz w:val="28"/>
          <w:szCs w:val="24"/>
        </w:rPr>
      </w:pPr>
      <w:r w:rsidRPr="0009123A">
        <w:rPr>
          <w:rFonts w:ascii="Palatino Linotype" w:hAnsi="Palatino Linotype" w:cs="Arial"/>
          <w:sz w:val="28"/>
          <w:szCs w:val="24"/>
        </w:rPr>
        <w:t xml:space="preserve"> </w:t>
      </w:r>
      <w:r w:rsidRPr="0009123A">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09123A">
        <w:rPr>
          <w:rFonts w:ascii="Palatino Linotype" w:hAnsi="Palatino Linotype" w:cs="Arial"/>
          <w:sz w:val="24"/>
          <w:szCs w:val="24"/>
        </w:rPr>
        <w:t>procedibilidad</w:t>
      </w:r>
      <w:proofErr w:type="spellEnd"/>
      <w:r w:rsidRPr="0009123A">
        <w:rPr>
          <w:rFonts w:ascii="Palatino Linotype" w:hAnsi="Palatino Linotype" w:cs="Arial"/>
          <w:sz w:val="24"/>
          <w:szCs w:val="24"/>
        </w:rPr>
        <w:t>, ya que en todo momento nos encontramos ante un derecho más alto que, puede considerarse en los siguientes términos:</w:t>
      </w:r>
    </w:p>
    <w:p w:rsidR="0009123A" w:rsidRPr="0009123A" w:rsidRDefault="0009123A" w:rsidP="0009123A">
      <w:pPr>
        <w:pStyle w:val="Prrafodelista"/>
        <w:rPr>
          <w:rFonts w:ascii="Palatino Linotype" w:hAnsi="Palatino Linotype" w:cs="Arial"/>
          <w:sz w:val="24"/>
          <w:szCs w:val="24"/>
        </w:rPr>
      </w:pPr>
    </w:p>
    <w:p w:rsidR="0046491C" w:rsidRPr="0009123A" w:rsidRDefault="0046491C" w:rsidP="001574EC">
      <w:pPr>
        <w:spacing w:after="0" w:line="360" w:lineRule="auto"/>
        <w:ind w:left="567" w:right="618"/>
        <w:jc w:val="both"/>
        <w:rPr>
          <w:rFonts w:ascii="Palatino Linotype" w:hAnsi="Palatino Linotype" w:cs="Arial"/>
          <w:i/>
          <w:szCs w:val="24"/>
        </w:rPr>
      </w:pPr>
      <w:r w:rsidRPr="0009123A">
        <w:rPr>
          <w:rFonts w:ascii="Palatino Linotype" w:hAnsi="Palatino Linotype" w:cs="Arial"/>
          <w:i/>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w:t>
      </w:r>
      <w:r w:rsidRPr="0009123A">
        <w:rPr>
          <w:rFonts w:ascii="Palatino Linotype" w:hAnsi="Palatino Linotype" w:cs="Arial"/>
          <w:i/>
          <w:szCs w:val="24"/>
        </w:rPr>
        <w:lastRenderedPageBreak/>
        <w:t xml:space="preserve">generados por la heterogeneidad y </w:t>
      </w:r>
      <w:proofErr w:type="spellStart"/>
      <w:r w:rsidRPr="0009123A">
        <w:rPr>
          <w:rFonts w:ascii="Palatino Linotype" w:hAnsi="Palatino Linotype" w:cs="Arial"/>
          <w:i/>
          <w:szCs w:val="24"/>
        </w:rPr>
        <w:t>ocasionalidad</w:t>
      </w:r>
      <w:proofErr w:type="spellEnd"/>
      <w:r w:rsidRPr="0009123A">
        <w:rPr>
          <w:rFonts w:ascii="Palatino Linotype" w:hAnsi="Palatino Linotype" w:cs="Arial"/>
          <w:i/>
          <w:szCs w:val="24"/>
        </w:rPr>
        <w:t xml:space="preserve"> de las presiones sociales que se ejercen sobre el mismo”.</w:t>
      </w:r>
      <w:r w:rsidRPr="0009123A">
        <w:rPr>
          <w:rStyle w:val="Refdenotaalpie"/>
          <w:rFonts w:ascii="Palatino Linotype" w:hAnsi="Palatino Linotype" w:cs="Arial"/>
          <w:i/>
          <w:szCs w:val="24"/>
        </w:rPr>
        <w:footnoteReference w:id="5"/>
      </w:r>
    </w:p>
    <w:p w:rsidR="009156AC" w:rsidRPr="0009123A" w:rsidRDefault="009156AC" w:rsidP="00E34F08">
      <w:pPr>
        <w:spacing w:after="0" w:line="360" w:lineRule="auto"/>
        <w:ind w:left="1134" w:right="618"/>
        <w:jc w:val="both"/>
        <w:rPr>
          <w:rFonts w:ascii="Palatino Linotype" w:hAnsi="Palatino Linotype" w:cs="Arial"/>
          <w:i/>
          <w:sz w:val="24"/>
          <w:szCs w:val="24"/>
        </w:rPr>
      </w:pPr>
    </w:p>
    <w:p w:rsidR="0046491C" w:rsidRPr="00B26501" w:rsidRDefault="0046491C" w:rsidP="00E34F08">
      <w:pPr>
        <w:pStyle w:val="Prrafodelista"/>
        <w:numPr>
          <w:ilvl w:val="0"/>
          <w:numId w:val="1"/>
        </w:numPr>
        <w:spacing w:after="0" w:line="360" w:lineRule="auto"/>
        <w:ind w:left="426" w:hanging="426"/>
        <w:jc w:val="both"/>
        <w:rPr>
          <w:rFonts w:ascii="Palatino Linotype" w:hAnsi="Palatino Linotype" w:cs="Arial"/>
        </w:rPr>
      </w:pPr>
      <w:r w:rsidRPr="0009123A">
        <w:rPr>
          <w:rFonts w:ascii="Palatino Linotype" w:hAnsi="Palatino Linotype" w:cs="Arial"/>
          <w:sz w:val="24"/>
          <w:szCs w:val="24"/>
        </w:rPr>
        <w:t xml:space="preserve"> </w:t>
      </w:r>
      <w:r w:rsidRPr="00B26501">
        <w:rPr>
          <w:rFonts w:ascii="Palatino Linotype" w:hAnsi="Palatino Linotype" w:cs="Arial"/>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B26501" w:rsidRDefault="0046491C" w:rsidP="00E34F08">
      <w:pPr>
        <w:pStyle w:val="Prrafodelista"/>
        <w:spacing w:after="0" w:line="360" w:lineRule="auto"/>
        <w:ind w:left="426"/>
        <w:jc w:val="both"/>
        <w:rPr>
          <w:rFonts w:ascii="Palatino Linotype" w:hAnsi="Palatino Linotype" w:cs="Arial"/>
        </w:rPr>
      </w:pPr>
    </w:p>
    <w:p w:rsidR="0046491C" w:rsidRPr="00B26501" w:rsidRDefault="0046491C" w:rsidP="00E34F08">
      <w:pPr>
        <w:pStyle w:val="Prrafodelista"/>
        <w:numPr>
          <w:ilvl w:val="0"/>
          <w:numId w:val="1"/>
        </w:numPr>
        <w:spacing w:line="360" w:lineRule="auto"/>
        <w:ind w:left="426" w:hanging="426"/>
        <w:jc w:val="both"/>
        <w:rPr>
          <w:rFonts w:ascii="Palatino Linotype" w:hAnsi="Palatino Linotype" w:cs="Arial"/>
        </w:rPr>
      </w:pPr>
      <w:r w:rsidRPr="00B26501">
        <w:rPr>
          <w:rFonts w:ascii="Palatino Linotype" w:hAnsi="Palatino Linotype" w:cs="Arial"/>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w:t>
      </w:r>
      <w:r w:rsidRPr="00B26501">
        <w:rPr>
          <w:rFonts w:ascii="Palatino Linotype" w:hAnsi="Palatino Linotype" w:cs="Arial"/>
        </w:rPr>
        <w:lastRenderedPageBreak/>
        <w:t>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9123A" w:rsidRDefault="00DF6F7E" w:rsidP="00E34F08">
      <w:pPr>
        <w:pStyle w:val="Prrafodelista"/>
        <w:spacing w:line="360" w:lineRule="auto"/>
        <w:jc w:val="both"/>
        <w:rPr>
          <w:rFonts w:ascii="Palatino Linotype" w:hAnsi="Palatino Linotype" w:cs="Arial"/>
          <w:sz w:val="24"/>
          <w:szCs w:val="24"/>
        </w:rPr>
      </w:pPr>
    </w:p>
    <w:p w:rsidR="0046491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B26501" w:rsidRPr="00B26501" w:rsidRDefault="00B26501" w:rsidP="00B26501">
      <w:pPr>
        <w:pStyle w:val="Prrafodelista"/>
        <w:rPr>
          <w:rFonts w:ascii="Palatino Linotype" w:hAnsi="Palatino Linotype" w:cs="Arial"/>
          <w:sz w:val="24"/>
          <w:szCs w:val="24"/>
        </w:rPr>
      </w:pPr>
    </w:p>
    <w:p w:rsidR="00B26501" w:rsidRDefault="00B26501" w:rsidP="00B26501">
      <w:pPr>
        <w:spacing w:after="0" w:line="360" w:lineRule="auto"/>
        <w:jc w:val="both"/>
        <w:rPr>
          <w:rFonts w:ascii="Palatino Linotype" w:hAnsi="Palatino Linotype" w:cs="Arial"/>
          <w:sz w:val="24"/>
          <w:szCs w:val="24"/>
        </w:rPr>
      </w:pPr>
    </w:p>
    <w:p w:rsidR="00B26501" w:rsidRDefault="00B26501" w:rsidP="00B26501">
      <w:pPr>
        <w:spacing w:after="0" w:line="360" w:lineRule="auto"/>
        <w:jc w:val="both"/>
        <w:rPr>
          <w:rFonts w:ascii="Palatino Linotype" w:hAnsi="Palatino Linotype" w:cs="Arial"/>
          <w:sz w:val="24"/>
          <w:szCs w:val="24"/>
        </w:rPr>
      </w:pPr>
    </w:p>
    <w:p w:rsidR="00B26501" w:rsidRDefault="00B26501" w:rsidP="00B26501">
      <w:pPr>
        <w:spacing w:after="0" w:line="360" w:lineRule="auto"/>
        <w:jc w:val="both"/>
        <w:rPr>
          <w:rFonts w:ascii="Palatino Linotype" w:hAnsi="Palatino Linotype" w:cs="Arial"/>
          <w:sz w:val="24"/>
          <w:szCs w:val="24"/>
        </w:rPr>
      </w:pPr>
    </w:p>
    <w:p w:rsidR="00B26501" w:rsidRDefault="00B26501" w:rsidP="00B26501">
      <w:pPr>
        <w:spacing w:after="0" w:line="360" w:lineRule="auto"/>
        <w:jc w:val="both"/>
        <w:rPr>
          <w:rFonts w:ascii="Palatino Linotype" w:hAnsi="Palatino Linotype" w:cs="Arial"/>
          <w:sz w:val="24"/>
          <w:szCs w:val="24"/>
        </w:rPr>
      </w:pPr>
    </w:p>
    <w:p w:rsidR="00B26501" w:rsidRPr="00B26501" w:rsidRDefault="00B26501" w:rsidP="00B26501">
      <w:pPr>
        <w:spacing w:after="0" w:line="360" w:lineRule="auto"/>
        <w:jc w:val="both"/>
        <w:rPr>
          <w:rFonts w:ascii="Palatino Linotype" w:hAnsi="Palatino Linotype" w:cs="Arial"/>
          <w:sz w:val="24"/>
          <w:szCs w:val="24"/>
        </w:rPr>
      </w:pPr>
    </w:p>
    <w:p w:rsidR="0009123A" w:rsidRPr="0009123A" w:rsidRDefault="0009123A" w:rsidP="00702BD9">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Sinespaciado"/>
        <w:spacing w:line="360" w:lineRule="auto"/>
        <w:jc w:val="center"/>
        <w:rPr>
          <w:rFonts w:ascii="Palatino Linotype" w:hAnsi="Palatino Linotype"/>
          <w:b/>
          <w:sz w:val="24"/>
          <w:szCs w:val="24"/>
        </w:rPr>
      </w:pPr>
      <w:r w:rsidRPr="0009123A">
        <w:rPr>
          <w:rFonts w:ascii="Palatino Linotype" w:hAnsi="Palatino Linotype"/>
          <w:b/>
          <w:sz w:val="24"/>
          <w:szCs w:val="24"/>
        </w:rPr>
        <w:t>JOSÉ GUADALUPE LUNA HERNÁNDEZ</w:t>
      </w:r>
    </w:p>
    <w:p w:rsidR="0046491C" w:rsidRPr="0009123A" w:rsidRDefault="0046491C" w:rsidP="00E34F08">
      <w:pPr>
        <w:spacing w:line="360" w:lineRule="auto"/>
        <w:jc w:val="center"/>
        <w:rPr>
          <w:rFonts w:ascii="Palatino Linotype" w:hAnsi="Palatino Linotype"/>
          <w:sz w:val="24"/>
          <w:szCs w:val="24"/>
        </w:rPr>
      </w:pPr>
      <w:r w:rsidRPr="0009123A">
        <w:rPr>
          <w:rFonts w:ascii="Palatino Linotype" w:hAnsi="Palatino Linotype"/>
          <w:b/>
          <w:sz w:val="24"/>
          <w:szCs w:val="24"/>
        </w:rPr>
        <w:t>COMISIONADO</w:t>
      </w:r>
    </w:p>
    <w:p w:rsidR="00B44F6D" w:rsidRDefault="00B44F6D" w:rsidP="00575478">
      <w:pPr>
        <w:spacing w:line="360" w:lineRule="auto"/>
        <w:rPr>
          <w:rFonts w:ascii="Palatino Linotype" w:hAnsi="Palatino Linotype"/>
          <w:b/>
          <w:sz w:val="24"/>
          <w:szCs w:val="24"/>
        </w:rPr>
      </w:pPr>
    </w:p>
    <w:p w:rsidR="00575478" w:rsidRPr="0009123A" w:rsidRDefault="00575478" w:rsidP="00575478">
      <w:pPr>
        <w:spacing w:line="360" w:lineRule="auto"/>
        <w:rPr>
          <w:rFonts w:ascii="Palatino Linotype" w:hAnsi="Palatino Linotype"/>
          <w:b/>
          <w:sz w:val="24"/>
          <w:szCs w:val="24"/>
        </w:rPr>
      </w:pPr>
      <w:bookmarkStart w:id="3" w:name="_GoBack"/>
      <w:bookmarkEnd w:id="3"/>
      <w:r w:rsidRPr="0009123A">
        <w:rPr>
          <w:rFonts w:ascii="Palatino Linotype" w:hAnsi="Palatino Linotype"/>
          <w:b/>
          <w:sz w:val="24"/>
          <w:szCs w:val="24"/>
        </w:rPr>
        <w:t>JGLH/ADM.</w:t>
      </w:r>
    </w:p>
    <w:sectPr w:rsidR="00575478" w:rsidRPr="0009123A"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0D6" w:rsidRDefault="003200D6" w:rsidP="00E706DA">
      <w:pPr>
        <w:spacing w:after="0" w:line="240" w:lineRule="auto"/>
      </w:pPr>
      <w:r>
        <w:separator/>
      </w:r>
    </w:p>
  </w:endnote>
  <w:endnote w:type="continuationSeparator" w:id="0">
    <w:p w:rsidR="003200D6" w:rsidRDefault="003200D6"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3200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B44F6D">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B44F6D">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3200D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3200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0D6" w:rsidRDefault="003200D6" w:rsidP="00E706DA">
      <w:pPr>
        <w:spacing w:after="0" w:line="240" w:lineRule="auto"/>
      </w:pPr>
      <w:r>
        <w:separator/>
      </w:r>
    </w:p>
  </w:footnote>
  <w:footnote w:type="continuationSeparator" w:id="0">
    <w:p w:rsidR="003200D6" w:rsidRDefault="003200D6"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200D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200D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3200D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200D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23331724"/>
    <w:multiLevelType w:val="hybridMultilevel"/>
    <w:tmpl w:val="FCFE2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DA239B5"/>
    <w:multiLevelType w:val="hybridMultilevel"/>
    <w:tmpl w:val="38A6C9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F72F39"/>
    <w:multiLevelType w:val="hybridMultilevel"/>
    <w:tmpl w:val="A8F8E0D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5"/>
  </w:num>
  <w:num w:numId="2">
    <w:abstractNumId w:val="2"/>
  </w:num>
  <w:num w:numId="3">
    <w:abstractNumId w:val="9"/>
  </w:num>
  <w:num w:numId="4">
    <w:abstractNumId w:val="11"/>
  </w:num>
  <w:num w:numId="5">
    <w:abstractNumId w:val="14"/>
  </w:num>
  <w:num w:numId="6">
    <w:abstractNumId w:val="16"/>
  </w:num>
  <w:num w:numId="7">
    <w:abstractNumId w:val="20"/>
  </w:num>
  <w:num w:numId="8">
    <w:abstractNumId w:val="18"/>
  </w:num>
  <w:num w:numId="9">
    <w:abstractNumId w:val="23"/>
  </w:num>
  <w:num w:numId="10">
    <w:abstractNumId w:val="3"/>
  </w:num>
  <w:num w:numId="11">
    <w:abstractNumId w:val="22"/>
  </w:num>
  <w:num w:numId="12">
    <w:abstractNumId w:val="10"/>
  </w:num>
  <w:num w:numId="13">
    <w:abstractNumId w:val="5"/>
  </w:num>
  <w:num w:numId="14">
    <w:abstractNumId w:val="8"/>
  </w:num>
  <w:num w:numId="15">
    <w:abstractNumId w:val="17"/>
  </w:num>
  <w:num w:numId="16">
    <w:abstractNumId w:val="1"/>
  </w:num>
  <w:num w:numId="17">
    <w:abstractNumId w:val="0"/>
  </w:num>
  <w:num w:numId="18">
    <w:abstractNumId w:val="12"/>
  </w:num>
  <w:num w:numId="19">
    <w:abstractNumId w:val="6"/>
  </w:num>
  <w:num w:numId="20">
    <w:abstractNumId w:val="19"/>
  </w:num>
  <w:num w:numId="21">
    <w:abstractNumId w:val="21"/>
  </w:num>
  <w:num w:numId="22">
    <w:abstractNumId w:val="7"/>
  </w:num>
  <w:num w:numId="23">
    <w:abstractNumId w:val="13"/>
  </w:num>
  <w:num w:numId="24">
    <w:abstractNumId w:val="2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A9F"/>
    <w:rsid w:val="00043805"/>
    <w:rsid w:val="00072966"/>
    <w:rsid w:val="00073F0D"/>
    <w:rsid w:val="00085188"/>
    <w:rsid w:val="0009123A"/>
    <w:rsid w:val="000951B4"/>
    <w:rsid w:val="000A77B5"/>
    <w:rsid w:val="000A7B66"/>
    <w:rsid w:val="000C39C6"/>
    <w:rsid w:val="000D1743"/>
    <w:rsid w:val="000E57DB"/>
    <w:rsid w:val="000F6CBB"/>
    <w:rsid w:val="0010615C"/>
    <w:rsid w:val="001102C3"/>
    <w:rsid w:val="00122625"/>
    <w:rsid w:val="001574EC"/>
    <w:rsid w:val="00194B6A"/>
    <w:rsid w:val="001A51F3"/>
    <w:rsid w:val="001C545F"/>
    <w:rsid w:val="001C62B2"/>
    <w:rsid w:val="001D3F34"/>
    <w:rsid w:val="001E0928"/>
    <w:rsid w:val="0020315F"/>
    <w:rsid w:val="002036ED"/>
    <w:rsid w:val="00214EC5"/>
    <w:rsid w:val="00225026"/>
    <w:rsid w:val="002375C7"/>
    <w:rsid w:val="00260D6C"/>
    <w:rsid w:val="002620E9"/>
    <w:rsid w:val="00281310"/>
    <w:rsid w:val="002C1F75"/>
    <w:rsid w:val="002D6857"/>
    <w:rsid w:val="002E1956"/>
    <w:rsid w:val="003200D6"/>
    <w:rsid w:val="00333DB9"/>
    <w:rsid w:val="00343601"/>
    <w:rsid w:val="00346358"/>
    <w:rsid w:val="00346DBD"/>
    <w:rsid w:val="00347624"/>
    <w:rsid w:val="00367E00"/>
    <w:rsid w:val="003705BB"/>
    <w:rsid w:val="003747A5"/>
    <w:rsid w:val="00386688"/>
    <w:rsid w:val="00393E96"/>
    <w:rsid w:val="003973AC"/>
    <w:rsid w:val="003C4F79"/>
    <w:rsid w:val="003D7B9E"/>
    <w:rsid w:val="00412952"/>
    <w:rsid w:val="00424DE3"/>
    <w:rsid w:val="00444048"/>
    <w:rsid w:val="00452F18"/>
    <w:rsid w:val="0046491C"/>
    <w:rsid w:val="00471ACB"/>
    <w:rsid w:val="0048490F"/>
    <w:rsid w:val="004C6BBF"/>
    <w:rsid w:val="00525DF2"/>
    <w:rsid w:val="00532410"/>
    <w:rsid w:val="00575478"/>
    <w:rsid w:val="005A3267"/>
    <w:rsid w:val="005D4F74"/>
    <w:rsid w:val="005F6A90"/>
    <w:rsid w:val="00634736"/>
    <w:rsid w:val="00643C7E"/>
    <w:rsid w:val="006728FD"/>
    <w:rsid w:val="0069498B"/>
    <w:rsid w:val="006D268B"/>
    <w:rsid w:val="00702BD9"/>
    <w:rsid w:val="00717C0D"/>
    <w:rsid w:val="0072136B"/>
    <w:rsid w:val="0076241F"/>
    <w:rsid w:val="00770016"/>
    <w:rsid w:val="00777181"/>
    <w:rsid w:val="00790E37"/>
    <w:rsid w:val="007A7FAD"/>
    <w:rsid w:val="007C43FB"/>
    <w:rsid w:val="007C524C"/>
    <w:rsid w:val="007D1488"/>
    <w:rsid w:val="00814E97"/>
    <w:rsid w:val="00816C18"/>
    <w:rsid w:val="00817341"/>
    <w:rsid w:val="0082452E"/>
    <w:rsid w:val="008361CA"/>
    <w:rsid w:val="008460C4"/>
    <w:rsid w:val="00847389"/>
    <w:rsid w:val="00850252"/>
    <w:rsid w:val="00856FA1"/>
    <w:rsid w:val="008702E8"/>
    <w:rsid w:val="008822B3"/>
    <w:rsid w:val="008858F1"/>
    <w:rsid w:val="008911CF"/>
    <w:rsid w:val="008977B4"/>
    <w:rsid w:val="008B02A9"/>
    <w:rsid w:val="008B03B6"/>
    <w:rsid w:val="008E1DCC"/>
    <w:rsid w:val="008F3E81"/>
    <w:rsid w:val="00900E75"/>
    <w:rsid w:val="00902248"/>
    <w:rsid w:val="009156AC"/>
    <w:rsid w:val="00927C4F"/>
    <w:rsid w:val="00937AD9"/>
    <w:rsid w:val="00937D7D"/>
    <w:rsid w:val="0094239C"/>
    <w:rsid w:val="00950792"/>
    <w:rsid w:val="009A3355"/>
    <w:rsid w:val="009A5396"/>
    <w:rsid w:val="009C4EF6"/>
    <w:rsid w:val="009D2892"/>
    <w:rsid w:val="00A043A9"/>
    <w:rsid w:val="00A626F8"/>
    <w:rsid w:val="00A63717"/>
    <w:rsid w:val="00A94632"/>
    <w:rsid w:val="00AA49F3"/>
    <w:rsid w:val="00AB023D"/>
    <w:rsid w:val="00AB126B"/>
    <w:rsid w:val="00AC381E"/>
    <w:rsid w:val="00AE4797"/>
    <w:rsid w:val="00AE5BD5"/>
    <w:rsid w:val="00B120CA"/>
    <w:rsid w:val="00B26501"/>
    <w:rsid w:val="00B44F6D"/>
    <w:rsid w:val="00B62245"/>
    <w:rsid w:val="00B8686D"/>
    <w:rsid w:val="00B951FF"/>
    <w:rsid w:val="00BC7B0C"/>
    <w:rsid w:val="00BF2070"/>
    <w:rsid w:val="00BF3534"/>
    <w:rsid w:val="00C3709F"/>
    <w:rsid w:val="00C41CE1"/>
    <w:rsid w:val="00C7250F"/>
    <w:rsid w:val="00C872FA"/>
    <w:rsid w:val="00C901A6"/>
    <w:rsid w:val="00CC62FD"/>
    <w:rsid w:val="00CE0823"/>
    <w:rsid w:val="00CF2F92"/>
    <w:rsid w:val="00CF52FE"/>
    <w:rsid w:val="00D1242B"/>
    <w:rsid w:val="00D15396"/>
    <w:rsid w:val="00D23B79"/>
    <w:rsid w:val="00D33AF9"/>
    <w:rsid w:val="00D363F7"/>
    <w:rsid w:val="00D5296C"/>
    <w:rsid w:val="00D72985"/>
    <w:rsid w:val="00D7508B"/>
    <w:rsid w:val="00DB7D4E"/>
    <w:rsid w:val="00DE67B1"/>
    <w:rsid w:val="00DF6F7E"/>
    <w:rsid w:val="00E34F08"/>
    <w:rsid w:val="00E61AB8"/>
    <w:rsid w:val="00E706DA"/>
    <w:rsid w:val="00E83E93"/>
    <w:rsid w:val="00E90EB5"/>
    <w:rsid w:val="00E94FBF"/>
    <w:rsid w:val="00EF0C2D"/>
    <w:rsid w:val="00F07862"/>
    <w:rsid w:val="00F45161"/>
    <w:rsid w:val="00F46E78"/>
    <w:rsid w:val="00F5642A"/>
    <w:rsid w:val="00F747F8"/>
    <w:rsid w:val="00F857BC"/>
    <w:rsid w:val="00FC5012"/>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256DB-C832-475A-8F10-6262801F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3469</Words>
  <Characters>19083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2019-02-19T00:04:00Z</cp:lastPrinted>
  <dcterms:created xsi:type="dcterms:W3CDTF">2019-02-18T23:53:00Z</dcterms:created>
  <dcterms:modified xsi:type="dcterms:W3CDTF">2019-02-19T00:08:00Z</dcterms:modified>
</cp:coreProperties>
</file>